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A7089" w:rsidRDefault="00E62590">
      <w:pPr>
        <w:spacing w:after="0"/>
        <w:jc w:val="center"/>
      </w:pPr>
      <w:r>
        <w:rPr>
          <w:color w:val="1C75BC"/>
          <w:sz w:val="36"/>
          <w:szCs w:val="36"/>
        </w:rPr>
        <w:t>SDG indicator metadata</w:t>
      </w:r>
    </w:p>
    <w:p w14:paraId="00000002" w14:textId="77777777" w:rsidR="009A7089" w:rsidRDefault="00E62590">
      <w:pPr>
        <w:spacing w:after="0"/>
        <w:jc w:val="center"/>
        <w:rPr>
          <w:b/>
          <w:color w:val="4A4A4A"/>
          <w:sz w:val="21"/>
          <w:szCs w:val="21"/>
        </w:rPr>
      </w:pPr>
      <w:r>
        <w:rPr>
          <w:b/>
          <w:color w:val="4A4A4A"/>
          <w:sz w:val="21"/>
          <w:szCs w:val="21"/>
        </w:rPr>
        <w:t>(Harmonized metadata template - format version 1.1)</w:t>
      </w:r>
    </w:p>
    <w:p w14:paraId="00000003" w14:textId="77777777" w:rsidR="009A7089" w:rsidRDefault="009A7089">
      <w:pPr>
        <w:spacing w:after="0"/>
        <w:rPr>
          <w:b/>
          <w:color w:val="4A4A4A"/>
          <w:sz w:val="21"/>
          <w:szCs w:val="21"/>
        </w:rPr>
      </w:pPr>
    </w:p>
    <w:p w14:paraId="00000004" w14:textId="77777777" w:rsidR="009A7089" w:rsidRDefault="00E62590">
      <w:pPr>
        <w:pBdr>
          <w:top w:val="nil"/>
          <w:left w:val="nil"/>
          <w:bottom w:val="nil"/>
          <w:right w:val="nil"/>
          <w:between w:val="nil"/>
        </w:pBdr>
        <w:shd w:val="clear" w:color="auto" w:fill="F5F5F5"/>
        <w:spacing w:after="100" w:line="240" w:lineRule="auto"/>
        <w:rPr>
          <w:color w:val="1C75BC"/>
          <w:sz w:val="32"/>
          <w:szCs w:val="32"/>
        </w:rPr>
      </w:pPr>
      <w:r>
        <w:rPr>
          <w:color w:val="1C75BC"/>
          <w:sz w:val="32"/>
          <w:szCs w:val="32"/>
        </w:rPr>
        <w:t xml:space="preserve">0. Indicator information </w:t>
      </w:r>
      <w:r>
        <w:rPr>
          <w:color w:val="B4B4B4"/>
          <w:sz w:val="20"/>
        </w:rPr>
        <w:t>(SDG_INDICATOR_INFO)</w:t>
      </w:r>
    </w:p>
    <w:p w14:paraId="00000005" w14:textId="77777777" w:rsidR="009A7089" w:rsidRDefault="00E62590">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0.a. Goal </w:t>
      </w:r>
      <w:r>
        <w:rPr>
          <w:color w:val="B4B4B4"/>
          <w:sz w:val="20"/>
        </w:rPr>
        <w:t>(SDG_GOAL)</w:t>
      </w:r>
    </w:p>
    <w:p w14:paraId="00000006" w14:textId="77777777" w:rsidR="009A7089" w:rsidRDefault="00E62590">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Goal 4: Ensure inclusive and equitable quality education and promote lifelong learning opportunities for all</w:t>
      </w:r>
    </w:p>
    <w:p w14:paraId="00000007" w14:textId="77777777" w:rsidR="009A7089" w:rsidRDefault="00E62590">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0.b. Target </w:t>
      </w:r>
      <w:r>
        <w:rPr>
          <w:color w:val="B4B4B4"/>
          <w:sz w:val="20"/>
        </w:rPr>
        <w:t>(SDG_TARGET)</w:t>
      </w:r>
    </w:p>
    <w:p w14:paraId="00000008" w14:textId="77777777" w:rsidR="009A7089" w:rsidRDefault="00E62590">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Target 4.1: By 2030, ensure that all girls and boys complete free, equitable and quality primary and secondary education leading to relevant and effective learning outcomes</w:t>
      </w:r>
    </w:p>
    <w:p w14:paraId="00000009" w14:textId="77777777" w:rsidR="009A7089" w:rsidRDefault="00E62590">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0.c. Indicator </w:t>
      </w:r>
      <w:r>
        <w:rPr>
          <w:color w:val="B4B4B4"/>
          <w:sz w:val="20"/>
        </w:rPr>
        <w:t>(SDG_INDICATOR)</w:t>
      </w:r>
    </w:p>
    <w:p w14:paraId="0000000A" w14:textId="1D6121DA" w:rsidR="009A7089" w:rsidRDefault="00E62590">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Indicator 4.1.1: Proportion of children and young people (a) in grades 2/3; (b) at the end of primary; and (c) at the end of lower secondary achieving at least a minimum proficiency level in (</w:t>
      </w:r>
      <w:proofErr w:type="spellStart"/>
      <w:r>
        <w:rPr>
          <w:color w:val="333333"/>
          <w:sz w:val="21"/>
          <w:szCs w:val="21"/>
        </w:rPr>
        <w:t>i</w:t>
      </w:r>
      <w:proofErr w:type="spellEnd"/>
      <w:r>
        <w:rPr>
          <w:color w:val="333333"/>
          <w:sz w:val="21"/>
          <w:szCs w:val="21"/>
        </w:rPr>
        <w:t>) reading and (ii) mathematics, by sex</w:t>
      </w:r>
    </w:p>
    <w:p w14:paraId="0000000B" w14:textId="562870AA" w:rsidR="009A7089" w:rsidRPr="005274E1" w:rsidRDefault="00E62590">
      <w:pPr>
        <w:pBdr>
          <w:top w:val="nil"/>
          <w:left w:val="nil"/>
          <w:bottom w:val="nil"/>
          <w:right w:val="nil"/>
          <w:between w:val="nil"/>
        </w:pBdr>
        <w:shd w:val="clear" w:color="auto" w:fill="F5F5F5"/>
        <w:spacing w:after="100" w:line="240" w:lineRule="auto"/>
        <w:rPr>
          <w:color w:val="1C75BC"/>
          <w:sz w:val="26"/>
          <w:lang w:val="en-US"/>
        </w:rPr>
      </w:pPr>
      <w:r w:rsidRPr="005274E1">
        <w:rPr>
          <w:color w:val="1C75BC"/>
          <w:sz w:val="26"/>
          <w:lang w:val="en-US"/>
        </w:rPr>
        <w:t xml:space="preserve">0.d. Series </w:t>
      </w:r>
      <w:r>
        <w:rPr>
          <w:color w:val="B4B4B4"/>
          <w:sz w:val="20"/>
        </w:rPr>
        <w:t>(SDG_SERIES_DESCR)</w:t>
      </w:r>
    </w:p>
    <w:p w14:paraId="6876FAC1" w14:textId="4E721670" w:rsidR="003F6355" w:rsidRPr="005E4941" w:rsidRDefault="005C3EFC" w:rsidP="005E4941">
      <w:pPr>
        <w:pStyle w:val="MGTHeader"/>
      </w:pPr>
      <w:r w:rsidRPr="00A03C95">
        <w:rPr>
          <w:lang w:val="en-US"/>
        </w:rPr>
        <w:t>Not applicable</w:t>
      </w:r>
    </w:p>
    <w:p w14:paraId="0000000E" w14:textId="77777777" w:rsidR="009A7089" w:rsidRPr="005274E1" w:rsidRDefault="00E62590">
      <w:pPr>
        <w:pBdr>
          <w:top w:val="nil"/>
          <w:left w:val="nil"/>
          <w:bottom w:val="nil"/>
          <w:right w:val="nil"/>
          <w:between w:val="nil"/>
        </w:pBdr>
        <w:shd w:val="clear" w:color="auto" w:fill="F5F5F5"/>
        <w:spacing w:after="100" w:line="240" w:lineRule="auto"/>
        <w:rPr>
          <w:color w:val="1C75BC"/>
          <w:sz w:val="26"/>
          <w:lang w:val="en-US"/>
        </w:rPr>
      </w:pPr>
      <w:r w:rsidRPr="005274E1">
        <w:rPr>
          <w:color w:val="1C75BC"/>
          <w:sz w:val="26"/>
          <w:lang w:val="en-US"/>
        </w:rPr>
        <w:t xml:space="preserve">0.e. Metadata update </w:t>
      </w:r>
      <w:sdt>
        <w:sdtPr>
          <w:tag w:val="goog_rdk_2"/>
          <w:id w:val="956377620"/>
        </w:sdtPr>
        <w:sdtEndPr/>
        <w:sdtContent>
          <w:r w:rsidRPr="005274E1">
            <w:rPr>
              <w:color w:val="1C75BC"/>
              <w:sz w:val="26"/>
              <w:lang w:val="en-US"/>
            </w:rPr>
            <w:t xml:space="preserve"> </w:t>
          </w:r>
        </w:sdtContent>
      </w:sdt>
      <w:r>
        <w:rPr>
          <w:color w:val="B4B4B4"/>
          <w:sz w:val="20"/>
        </w:rPr>
        <w:t>(META_LAST_UPDATE)</w:t>
      </w:r>
    </w:p>
    <w:sdt>
      <w:sdtPr>
        <w:rPr>
          <w:color w:val="333333"/>
          <w:sz w:val="21"/>
          <w:szCs w:val="21"/>
        </w:rPr>
        <w:id w:val="-1180971920"/>
        <w:placeholder>
          <w:docPart w:val="DefaultPlaceholder_-1854013437"/>
        </w:placeholder>
        <w:date w:fullDate="2022-03-31T00:00:00Z">
          <w:dateFormat w:val="yyyy-MM-dd"/>
          <w:lid w:val="en-US"/>
          <w:storeMappedDataAs w:val="dateTime"/>
          <w:calendar w:val="gregorian"/>
        </w:date>
      </w:sdtPr>
      <w:sdtContent>
        <w:p w14:paraId="0000000F" w14:textId="507E2C43" w:rsidR="009A7089" w:rsidRDefault="005E4941">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lang w:val="en-US"/>
            </w:rPr>
            <w:t>2022-03-31</w:t>
          </w:r>
        </w:p>
      </w:sdtContent>
    </w:sdt>
    <w:p w14:paraId="00000010" w14:textId="77777777" w:rsidR="009A7089" w:rsidRDefault="00E62590">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0.f. Related indicators </w:t>
      </w:r>
      <w:r>
        <w:rPr>
          <w:color w:val="B4B4B4"/>
          <w:sz w:val="20"/>
        </w:rPr>
        <w:t>(SDG_RELATED_INDICATORS)</w:t>
      </w:r>
    </w:p>
    <w:p w14:paraId="00000011" w14:textId="77777777" w:rsidR="009A7089" w:rsidRDefault="00E62590">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The parity indices for this indicator are reported in SDG indicator 4.5.1.</w:t>
      </w:r>
    </w:p>
    <w:p w14:paraId="00000012" w14:textId="77777777" w:rsidR="009A7089" w:rsidRDefault="00E62590">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0.g. </w:t>
      </w:r>
      <w:proofErr w:type="gramStart"/>
      <w:r>
        <w:rPr>
          <w:color w:val="1C75BC"/>
          <w:sz w:val="26"/>
          <w:szCs w:val="26"/>
        </w:rPr>
        <w:t>International</w:t>
      </w:r>
      <w:proofErr w:type="gramEnd"/>
      <w:r>
        <w:rPr>
          <w:color w:val="1C75BC"/>
          <w:sz w:val="26"/>
          <w:szCs w:val="26"/>
        </w:rPr>
        <w:t xml:space="preserve"> organisations(s) responsible for global monitoring </w:t>
      </w:r>
      <w:r>
        <w:rPr>
          <w:color w:val="B4B4B4"/>
          <w:sz w:val="20"/>
        </w:rPr>
        <w:t>(SDG_CUSTODIAN_AGENCIES)</w:t>
      </w:r>
    </w:p>
    <w:p w14:paraId="00000013" w14:textId="77777777" w:rsidR="009A7089" w:rsidRDefault="00E62590">
      <w:pPr>
        <w:pBdr>
          <w:top w:val="nil"/>
          <w:left w:val="nil"/>
          <w:bottom w:val="nil"/>
          <w:right w:val="nil"/>
          <w:between w:val="nil"/>
        </w:pBdr>
        <w:shd w:val="clear" w:color="auto" w:fill="F5F5F5"/>
        <w:spacing w:after="100" w:line="240" w:lineRule="auto"/>
        <w:rPr>
          <w:color w:val="4A4A4A"/>
          <w:sz w:val="21"/>
          <w:szCs w:val="21"/>
        </w:rPr>
      </w:pPr>
      <w:r>
        <w:rPr>
          <w:color w:val="333333"/>
          <w:sz w:val="21"/>
          <w:szCs w:val="21"/>
        </w:rPr>
        <w:t>UNESCO Institute of Statistics (UIS)</w:t>
      </w:r>
    </w:p>
    <w:p w14:paraId="00000014" w14:textId="77777777" w:rsidR="009A7089" w:rsidRDefault="009A7089">
      <w:pPr>
        <w:shd w:val="clear" w:color="auto" w:fill="FFFFFF"/>
        <w:spacing w:after="0"/>
        <w:rPr>
          <w:color w:val="4A4A4A"/>
          <w:sz w:val="21"/>
          <w:szCs w:val="21"/>
        </w:rPr>
      </w:pPr>
    </w:p>
    <w:p w14:paraId="00000015" w14:textId="77777777" w:rsidR="009A7089" w:rsidRDefault="00E62590">
      <w:pPr>
        <w:pBdr>
          <w:top w:val="nil"/>
          <w:left w:val="nil"/>
          <w:bottom w:val="single" w:sz="12" w:space="4" w:color="DDDDDD"/>
          <w:right w:val="nil"/>
          <w:between w:val="nil"/>
        </w:pBdr>
        <w:shd w:val="clear" w:color="auto" w:fill="FFFFFF"/>
        <w:spacing w:after="0"/>
        <w:rPr>
          <w:color w:val="1C75BC"/>
          <w:sz w:val="32"/>
          <w:szCs w:val="32"/>
        </w:rPr>
      </w:pPr>
      <w:bookmarkStart w:id="0" w:name="_heading=h.gjdgxs" w:colFirst="0" w:colLast="0"/>
      <w:bookmarkStart w:id="1" w:name="_Toc37932744"/>
      <w:bookmarkStart w:id="2" w:name="_Toc36813072"/>
      <w:bookmarkStart w:id="3" w:name="_Toc36812685"/>
      <w:bookmarkStart w:id="4" w:name="_Toc36812572"/>
      <w:bookmarkStart w:id="5" w:name="_Toc36655609"/>
      <w:bookmarkEnd w:id="0"/>
      <w:r>
        <w:rPr>
          <w:color w:val="1C75BC"/>
          <w:sz w:val="32"/>
          <w:szCs w:val="32"/>
        </w:rPr>
        <w:t xml:space="preserve">1. Data reporter </w:t>
      </w:r>
      <w:bookmarkEnd w:id="1"/>
      <w:bookmarkEnd w:id="2"/>
      <w:bookmarkEnd w:id="3"/>
      <w:bookmarkEnd w:id="4"/>
      <w:bookmarkEnd w:id="5"/>
      <w:r>
        <w:rPr>
          <w:color w:val="B4B4B4"/>
          <w:sz w:val="20"/>
        </w:rPr>
        <w:t>(CONTACT)</w:t>
      </w:r>
    </w:p>
    <w:p w14:paraId="00000016"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1.a. Organisation </w:t>
      </w:r>
      <w:r>
        <w:rPr>
          <w:color w:val="B4B4B4"/>
          <w:sz w:val="20"/>
        </w:rPr>
        <w:t>(CONTACT_ORGANISATION)</w:t>
      </w:r>
    </w:p>
    <w:p w14:paraId="00000017" w14:textId="3458E7F9"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UNESCO Institute of Statistics (UIS)</w:t>
      </w:r>
    </w:p>
    <w:p w14:paraId="00000018"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19" w14:textId="77777777" w:rsidR="009A7089" w:rsidRDefault="00E62590">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2. Definition, concepts, and classifications </w:t>
      </w:r>
      <w:r>
        <w:rPr>
          <w:color w:val="B4B4B4"/>
          <w:sz w:val="20"/>
        </w:rPr>
        <w:t>(IND_DEF_CON_CLASS)</w:t>
      </w:r>
    </w:p>
    <w:p w14:paraId="0000001A"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2.a. Definition and concepts </w:t>
      </w:r>
      <w:r>
        <w:rPr>
          <w:color w:val="B4B4B4"/>
          <w:sz w:val="20"/>
        </w:rPr>
        <w:t>(STAT_CONC_DEF)</w:t>
      </w:r>
    </w:p>
    <w:p w14:paraId="0000001B" w14:textId="77777777" w:rsidR="009A7089" w:rsidRPr="00FD31CB" w:rsidRDefault="00E62590">
      <w:pPr>
        <w:pBdr>
          <w:top w:val="nil"/>
          <w:left w:val="nil"/>
          <w:bottom w:val="nil"/>
          <w:right w:val="nil"/>
          <w:between w:val="nil"/>
        </w:pBdr>
        <w:shd w:val="clear" w:color="auto" w:fill="FFFFFF"/>
        <w:spacing w:after="0"/>
        <w:rPr>
          <w:b/>
          <w:bCs/>
          <w:color w:val="4A4A4A"/>
          <w:sz w:val="21"/>
          <w:szCs w:val="21"/>
        </w:rPr>
      </w:pPr>
      <w:r w:rsidRPr="00FD31CB">
        <w:rPr>
          <w:b/>
          <w:bCs/>
          <w:color w:val="4A4A4A"/>
          <w:sz w:val="21"/>
          <w:szCs w:val="21"/>
        </w:rPr>
        <w:t>Definition:</w:t>
      </w:r>
    </w:p>
    <w:p w14:paraId="0000001C"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Percentage of children and young people achieving at least a minimum proficiency level in (</w:t>
      </w:r>
      <w:proofErr w:type="spellStart"/>
      <w:r>
        <w:rPr>
          <w:color w:val="4A4A4A"/>
          <w:sz w:val="21"/>
          <w:szCs w:val="21"/>
        </w:rPr>
        <w:t>i</w:t>
      </w:r>
      <w:proofErr w:type="spellEnd"/>
      <w:r>
        <w:rPr>
          <w:color w:val="4A4A4A"/>
          <w:sz w:val="21"/>
          <w:szCs w:val="21"/>
        </w:rPr>
        <w:t>) reading and (ii) mathematics during primary education (Grade 2 or 3), at the end of primary education, and at the end of lower secondary education. The minimum proficiency level will be measured relative to new common reading and mathematics scales currently in development.</w:t>
      </w:r>
    </w:p>
    <w:p w14:paraId="0000001D"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1E" w14:textId="77777777" w:rsidR="009A7089" w:rsidRDefault="00E62590">
      <w:pPr>
        <w:shd w:val="clear" w:color="auto" w:fill="FFFFFF"/>
        <w:spacing w:after="0"/>
        <w:rPr>
          <w:color w:val="4A4A4A"/>
          <w:sz w:val="21"/>
          <w:szCs w:val="21"/>
        </w:rPr>
      </w:pPr>
      <w:r>
        <w:rPr>
          <w:b/>
          <w:color w:val="4A4A4A"/>
          <w:sz w:val="21"/>
          <w:szCs w:val="21"/>
        </w:rPr>
        <w:t>Concepts:</w:t>
      </w:r>
    </w:p>
    <w:p w14:paraId="0000001F" w14:textId="77777777" w:rsidR="009A7089" w:rsidRDefault="00E62590">
      <w:pPr>
        <w:pBdr>
          <w:top w:val="nil"/>
          <w:left w:val="nil"/>
          <w:bottom w:val="nil"/>
          <w:right w:val="nil"/>
          <w:between w:val="nil"/>
        </w:pBdr>
        <w:shd w:val="clear" w:color="auto" w:fill="FFFFFF"/>
        <w:spacing w:after="0"/>
        <w:rPr>
          <w:color w:val="4A4A4A"/>
          <w:sz w:val="21"/>
          <w:szCs w:val="21"/>
        </w:rPr>
      </w:pPr>
      <w:r>
        <w:rPr>
          <w:i/>
          <w:color w:val="4A4A4A"/>
          <w:sz w:val="21"/>
          <w:szCs w:val="21"/>
        </w:rPr>
        <w:t>Minimum proficiency level (MPL)</w:t>
      </w:r>
      <w:r>
        <w:rPr>
          <w:color w:val="4A4A4A"/>
          <w:sz w:val="21"/>
          <w:szCs w:val="21"/>
        </w:rPr>
        <w:t xml:space="preserve"> is the benchmark of basic knowledge in a domain (mathematics, reading, etc.) measured through learning assessments. In September 2018, an agreement was reached on </w:t>
      </w:r>
      <w:r>
        <w:rPr>
          <w:color w:val="4A4A4A"/>
          <w:sz w:val="21"/>
          <w:szCs w:val="21"/>
        </w:rPr>
        <w:lastRenderedPageBreak/>
        <w:t xml:space="preserve">a verbal definition of the global minimum proficiency level of reference for each of the areas and domains of Indicator 4.1.1 as described in the </w:t>
      </w:r>
      <w:hyperlink r:id="rId12">
        <w:r>
          <w:rPr>
            <w:color w:val="4A4A4A"/>
            <w:sz w:val="21"/>
            <w:szCs w:val="21"/>
            <w:u w:val="single"/>
          </w:rPr>
          <w:t>Minimum Proficiency Levels (MPLs): Outcomes of the consensus building meeting</w:t>
        </w:r>
      </w:hyperlink>
      <w:r>
        <w:rPr>
          <w:color w:val="4A4A4A"/>
          <w:sz w:val="21"/>
          <w:szCs w:val="21"/>
        </w:rPr>
        <w:t>.</w:t>
      </w:r>
    </w:p>
    <w:p w14:paraId="00000020"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21" w14:textId="77777777" w:rsidR="009A7089" w:rsidRDefault="00E62590">
      <w:pPr>
        <w:pBdr>
          <w:top w:val="nil"/>
          <w:left w:val="nil"/>
          <w:bottom w:val="nil"/>
          <w:right w:val="nil"/>
          <w:between w:val="nil"/>
        </w:pBdr>
        <w:shd w:val="clear" w:color="auto" w:fill="FFFFFF"/>
        <w:spacing w:after="0"/>
        <w:rPr>
          <w:i/>
          <w:color w:val="4A4A4A"/>
          <w:sz w:val="21"/>
          <w:szCs w:val="21"/>
        </w:rPr>
      </w:pPr>
      <w:r>
        <w:rPr>
          <w:i/>
          <w:color w:val="4A4A4A"/>
          <w:sz w:val="21"/>
          <w:szCs w:val="21"/>
        </w:rPr>
        <w:t>Minimum proficiency levels defined by each learning assessment</w:t>
      </w:r>
    </w:p>
    <w:p w14:paraId="00000022" w14:textId="77777777" w:rsidR="009A7089" w:rsidRDefault="00E62590">
      <w:pPr>
        <w:rPr>
          <w:color w:val="4A4A4A"/>
          <w:sz w:val="21"/>
          <w:szCs w:val="21"/>
        </w:rPr>
      </w:pPr>
      <w:r>
        <w:rPr>
          <w:color w:val="4A4A4A"/>
          <w:sz w:val="21"/>
          <w:szCs w:val="21"/>
        </w:rPr>
        <w:t>To ensure comparability across learning assessments, a verbal definition of MPL for each domain and levels between cross-national assessments (CNAs) was established by conducting an analysis of the performance level descriptors (PLDs)</w:t>
      </w:r>
      <w:r>
        <w:rPr>
          <w:color w:val="4A4A4A"/>
          <w:sz w:val="21"/>
          <w:szCs w:val="21"/>
          <w:vertAlign w:val="superscript"/>
        </w:rPr>
        <w:footnoteReference w:id="2"/>
      </w:r>
      <w:r>
        <w:rPr>
          <w:color w:val="4A4A4A"/>
          <w:sz w:val="21"/>
          <w:szCs w:val="21"/>
        </w:rPr>
        <w:t xml:space="preserve"> of cross-national, regional, and community-led tests in reading and mathematics. The analysis was led and completed by the UIS and a consensus among experts on the proposed methodology was deemed adequate and pragmatic.</w:t>
      </w:r>
    </w:p>
    <w:p w14:paraId="00000023" w14:textId="77777777" w:rsidR="009A7089" w:rsidRDefault="00E62590">
      <w:pPr>
        <w:tabs>
          <w:tab w:val="left" w:pos="1560"/>
        </w:tabs>
        <w:rPr>
          <w:color w:val="4A4A4A"/>
          <w:sz w:val="21"/>
          <w:szCs w:val="21"/>
        </w:rPr>
      </w:pPr>
      <w:r>
        <w:rPr>
          <w:color w:val="4A4A4A"/>
          <w:sz w:val="21"/>
          <w:szCs w:val="21"/>
        </w:rPr>
        <w:t>The global MPL definitions for the domains of reading and mathematics are presented in Table 1.</w:t>
      </w:r>
    </w:p>
    <w:p w14:paraId="00000025" w14:textId="6829AE75" w:rsidR="009A7089" w:rsidRDefault="00247C72">
      <w:pPr>
        <w:pStyle w:val="Subtitle"/>
        <w:ind w:left="0"/>
        <w:rPr>
          <w:color w:val="4A4A4A"/>
          <w:sz w:val="21"/>
          <w:szCs w:val="21"/>
        </w:rPr>
      </w:pPr>
      <w:sdt>
        <w:sdtPr>
          <w:tag w:val="goog_rdk_5"/>
          <w:id w:val="-1490628190"/>
        </w:sdtPr>
        <w:sdtEndPr/>
        <w:sdtContent>
          <w:sdt>
            <w:sdtPr>
              <w:tag w:val="goog_rdk_4"/>
              <w:id w:val="-1419170820"/>
              <w:showingPlcHdr/>
            </w:sdtPr>
            <w:sdtEndPr/>
            <w:sdtContent>
              <w:r w:rsidR="00E87584">
                <w:t xml:space="preserve">     </w:t>
              </w:r>
            </w:sdtContent>
          </w:sdt>
        </w:sdtContent>
      </w:sdt>
      <w:r w:rsidR="00E62590">
        <w:rPr>
          <w:color w:val="4A4A4A"/>
          <w:sz w:val="21"/>
          <w:szCs w:val="21"/>
        </w:rPr>
        <w:t>Table 1. Minimum proficiency levels defined by each learning assessment</w:t>
      </w:r>
    </w:p>
    <w:tbl>
      <w:tblPr>
        <w:tblStyle w:val="a"/>
        <w:tblW w:w="7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5670"/>
      </w:tblGrid>
      <w:tr w:rsidR="009A7089" w14:paraId="4D1F8299" w14:textId="77777777" w:rsidTr="0053304A">
        <w:trPr>
          <w:trHeight w:val="182"/>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0000026" w14:textId="77777777" w:rsidR="009A7089" w:rsidRDefault="00E62590">
            <w:pPr>
              <w:spacing w:line="256" w:lineRule="auto"/>
              <w:ind w:right="51"/>
              <w:jc w:val="center"/>
              <w:rPr>
                <w:b/>
                <w:color w:val="4A4A4A"/>
                <w:sz w:val="21"/>
                <w:szCs w:val="21"/>
              </w:rPr>
            </w:pPr>
            <w:r>
              <w:rPr>
                <w:b/>
                <w:color w:val="4A4A4A"/>
                <w:sz w:val="21"/>
                <w:szCs w:val="21"/>
              </w:rPr>
              <w:t>Reading</w:t>
            </w:r>
          </w:p>
        </w:tc>
      </w:tr>
      <w:tr w:rsidR="009A7089" w14:paraId="4CE1FAFA" w14:textId="77777777" w:rsidTr="00110E5E">
        <w:trPr>
          <w:trHeight w:val="2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00028" w14:textId="77777777" w:rsidR="009A7089" w:rsidRDefault="00E62590">
            <w:pPr>
              <w:spacing w:line="256" w:lineRule="auto"/>
              <w:jc w:val="center"/>
              <w:rPr>
                <w:color w:val="4A4A4A"/>
                <w:sz w:val="21"/>
                <w:szCs w:val="21"/>
              </w:rPr>
            </w:pPr>
            <w:r>
              <w:rPr>
                <w:b/>
                <w:color w:val="4A4A4A"/>
                <w:sz w:val="21"/>
                <w:szCs w:val="21"/>
              </w:rPr>
              <w:t>Educational Level</w:t>
            </w:r>
          </w:p>
        </w:tc>
        <w:tc>
          <w:tcPr>
            <w:tcW w:w="56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00029" w14:textId="77777777" w:rsidR="009A7089" w:rsidRDefault="00E62590">
            <w:pPr>
              <w:spacing w:line="256" w:lineRule="auto"/>
              <w:ind w:right="51"/>
              <w:jc w:val="center"/>
              <w:rPr>
                <w:color w:val="4A4A4A"/>
                <w:sz w:val="21"/>
                <w:szCs w:val="21"/>
              </w:rPr>
            </w:pPr>
            <w:r>
              <w:rPr>
                <w:b/>
                <w:color w:val="4A4A4A"/>
                <w:sz w:val="21"/>
                <w:szCs w:val="21"/>
              </w:rPr>
              <w:t>Descriptor</w:t>
            </w:r>
          </w:p>
        </w:tc>
      </w:tr>
      <w:tr w:rsidR="009A7089" w14:paraId="14662908" w14:textId="77777777" w:rsidTr="00110E5E">
        <w:trPr>
          <w:trHeight w:val="2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2A" w14:textId="77777777" w:rsidR="009A7089" w:rsidRDefault="00E62590">
            <w:pPr>
              <w:spacing w:line="256" w:lineRule="auto"/>
              <w:ind w:right="51"/>
              <w:rPr>
                <w:color w:val="4A4A4A"/>
                <w:sz w:val="21"/>
                <w:szCs w:val="21"/>
              </w:rPr>
            </w:pPr>
            <w:r>
              <w:rPr>
                <w:b/>
                <w:color w:val="4A4A4A"/>
                <w:sz w:val="21"/>
                <w:szCs w:val="21"/>
              </w:rPr>
              <w:t xml:space="preserve">Grade 2 </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02B" w14:textId="77777777" w:rsidR="009A7089" w:rsidRDefault="00E62590">
            <w:pPr>
              <w:spacing w:line="256" w:lineRule="auto"/>
              <w:rPr>
                <w:color w:val="4A4A4A"/>
                <w:sz w:val="21"/>
                <w:szCs w:val="21"/>
              </w:rPr>
            </w:pPr>
            <w:r>
              <w:rPr>
                <w:color w:val="4A4A4A"/>
                <w:sz w:val="21"/>
                <w:szCs w:val="21"/>
              </w:rPr>
              <w:t>They read and comprehend most of written words, particularly familiar ones, and extract explicit information from sentences.</w:t>
            </w:r>
            <w:r>
              <w:rPr>
                <w:b/>
                <w:color w:val="4A4A4A"/>
                <w:sz w:val="21"/>
                <w:szCs w:val="21"/>
              </w:rPr>
              <w:t xml:space="preserve"> </w:t>
            </w:r>
          </w:p>
        </w:tc>
      </w:tr>
      <w:tr w:rsidR="009A7089" w14:paraId="2E40D413" w14:textId="77777777" w:rsidTr="00110E5E">
        <w:trPr>
          <w:trHeight w:val="2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2C" w14:textId="77777777" w:rsidR="009A7089" w:rsidRDefault="00E62590">
            <w:pPr>
              <w:spacing w:line="256" w:lineRule="auto"/>
              <w:ind w:right="51"/>
              <w:rPr>
                <w:b/>
                <w:color w:val="4A4A4A"/>
                <w:sz w:val="21"/>
                <w:szCs w:val="21"/>
              </w:rPr>
            </w:pPr>
            <w:r>
              <w:rPr>
                <w:b/>
                <w:color w:val="4A4A4A"/>
                <w:sz w:val="21"/>
                <w:szCs w:val="21"/>
              </w:rPr>
              <w:t>Grade 3</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02D" w14:textId="50AF7CFC" w:rsidR="009A7089" w:rsidRDefault="00E62590">
            <w:pPr>
              <w:spacing w:line="256" w:lineRule="auto"/>
              <w:rPr>
                <w:color w:val="4A4A4A"/>
                <w:sz w:val="21"/>
                <w:szCs w:val="21"/>
              </w:rPr>
            </w:pPr>
            <w:r>
              <w:rPr>
                <w:color w:val="4A4A4A"/>
                <w:sz w:val="21"/>
                <w:szCs w:val="21"/>
              </w:rPr>
              <w:t>Students read aloud written words accurately and fluently. They understand the overall meaning of sentences and short texts. Students identify the texts’ topic</w:t>
            </w:r>
            <w:r w:rsidR="00457E51">
              <w:rPr>
                <w:color w:val="4A4A4A"/>
                <w:sz w:val="21"/>
                <w:szCs w:val="21"/>
              </w:rPr>
              <w:t>.</w:t>
            </w:r>
          </w:p>
        </w:tc>
      </w:tr>
      <w:tr w:rsidR="009A7089" w14:paraId="0814B146" w14:textId="77777777" w:rsidTr="00110E5E">
        <w:trPr>
          <w:trHeight w:val="2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2E" w14:textId="77777777" w:rsidR="009A7089" w:rsidRDefault="00E62590">
            <w:pPr>
              <w:spacing w:line="256" w:lineRule="auto"/>
              <w:ind w:right="51"/>
              <w:rPr>
                <w:b/>
                <w:color w:val="4A4A4A"/>
                <w:sz w:val="21"/>
                <w:szCs w:val="21"/>
              </w:rPr>
            </w:pPr>
            <w:r>
              <w:rPr>
                <w:b/>
                <w:color w:val="4A4A4A"/>
                <w:sz w:val="21"/>
                <w:szCs w:val="21"/>
              </w:rPr>
              <w:t>Grades 4 &amp; 6</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02F" w14:textId="77777777" w:rsidR="009A7089" w:rsidRDefault="00E62590">
            <w:pPr>
              <w:spacing w:line="256" w:lineRule="auto"/>
              <w:rPr>
                <w:color w:val="4A4A4A"/>
                <w:sz w:val="21"/>
                <w:szCs w:val="21"/>
              </w:rPr>
            </w:pPr>
            <w:r>
              <w:rPr>
                <w:color w:val="4A4A4A"/>
                <w:sz w:val="21"/>
                <w:szCs w:val="21"/>
              </w:rPr>
              <w:t xml:space="preserve">Students interpret and give some explanations about the main and secondary ideas in different types of texts. They establish connections between main ideas on a text and their personal experiences as well as general knowledge. </w:t>
            </w:r>
            <w:r>
              <w:rPr>
                <w:b/>
                <w:color w:val="4A4A4A"/>
                <w:sz w:val="21"/>
                <w:szCs w:val="21"/>
              </w:rPr>
              <w:t xml:space="preserve"> </w:t>
            </w:r>
          </w:p>
        </w:tc>
      </w:tr>
      <w:tr w:rsidR="009A7089" w14:paraId="1CE19223" w14:textId="77777777" w:rsidTr="00110E5E">
        <w:trPr>
          <w:trHeight w:val="2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30" w14:textId="77777777" w:rsidR="009A7089" w:rsidRDefault="00E62590">
            <w:pPr>
              <w:spacing w:line="256" w:lineRule="auto"/>
              <w:ind w:right="51"/>
              <w:rPr>
                <w:b/>
                <w:color w:val="4A4A4A"/>
                <w:sz w:val="21"/>
                <w:szCs w:val="21"/>
              </w:rPr>
            </w:pPr>
            <w:r>
              <w:rPr>
                <w:b/>
                <w:color w:val="4A4A4A"/>
                <w:sz w:val="21"/>
                <w:szCs w:val="21"/>
              </w:rPr>
              <w:t>Grades 8 &amp; 9</w:t>
            </w:r>
          </w:p>
        </w:tc>
        <w:tc>
          <w:tcPr>
            <w:tcW w:w="5670" w:type="dxa"/>
            <w:tcBorders>
              <w:top w:val="single" w:sz="4" w:space="0" w:color="000000"/>
              <w:left w:val="single" w:sz="4" w:space="0" w:color="000000"/>
              <w:bottom w:val="single" w:sz="4" w:space="0" w:color="000000"/>
              <w:right w:val="single" w:sz="4" w:space="0" w:color="000000"/>
            </w:tcBorders>
            <w:vAlign w:val="center"/>
          </w:tcPr>
          <w:p w14:paraId="00000031" w14:textId="77777777" w:rsidR="009A7089" w:rsidRDefault="00E62590">
            <w:pPr>
              <w:spacing w:line="256" w:lineRule="auto"/>
              <w:rPr>
                <w:color w:val="4A4A4A"/>
                <w:sz w:val="21"/>
                <w:szCs w:val="21"/>
              </w:rPr>
            </w:pPr>
            <w:r>
              <w:rPr>
                <w:color w:val="4A4A4A"/>
                <w:sz w:val="21"/>
                <w:szCs w:val="21"/>
              </w:rPr>
              <w:t>Students establish connections between main ideas on different text types and the author’s intentions. They reflect and draw conclusions based on the text.</w:t>
            </w:r>
          </w:p>
        </w:tc>
      </w:tr>
    </w:tbl>
    <w:p w14:paraId="00000032" w14:textId="77777777" w:rsidR="009A7089" w:rsidRDefault="009A7089">
      <w:pPr>
        <w:widowControl w:val="0"/>
        <w:pBdr>
          <w:top w:val="nil"/>
          <w:left w:val="nil"/>
          <w:bottom w:val="nil"/>
          <w:right w:val="nil"/>
          <w:between w:val="nil"/>
        </w:pBdr>
        <w:spacing w:after="0"/>
        <w:rPr>
          <w:color w:val="4A4A4A"/>
          <w:sz w:val="21"/>
          <w:szCs w:val="21"/>
        </w:rPr>
      </w:pPr>
    </w:p>
    <w:tbl>
      <w:tblPr>
        <w:tblStyle w:val="a0"/>
        <w:tblW w:w="7515" w:type="dxa"/>
        <w:jc w:val="center"/>
        <w:tblLayout w:type="fixed"/>
        <w:tblLook w:val="0400" w:firstRow="0" w:lastRow="0" w:firstColumn="0" w:lastColumn="0" w:noHBand="0" w:noVBand="1"/>
      </w:tblPr>
      <w:tblGrid>
        <w:gridCol w:w="1838"/>
        <w:gridCol w:w="5677"/>
      </w:tblGrid>
      <w:tr w:rsidR="009A7089" w14:paraId="14B01C0A" w14:textId="77777777" w:rsidTr="0053304A">
        <w:trPr>
          <w:trHeight w:val="210"/>
          <w:jc w:val="center"/>
        </w:trPr>
        <w:tc>
          <w:tcPr>
            <w:tcW w:w="751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0000033" w14:textId="77777777" w:rsidR="009A7089" w:rsidRDefault="00E62590">
            <w:pPr>
              <w:spacing w:line="256" w:lineRule="auto"/>
              <w:ind w:right="52"/>
              <w:jc w:val="center"/>
              <w:rPr>
                <w:b/>
                <w:color w:val="4A4A4A"/>
                <w:sz w:val="21"/>
                <w:szCs w:val="21"/>
              </w:rPr>
            </w:pPr>
            <w:r>
              <w:rPr>
                <w:b/>
                <w:color w:val="4A4A4A"/>
                <w:sz w:val="21"/>
                <w:szCs w:val="21"/>
              </w:rPr>
              <w:t>Mathematics</w:t>
            </w:r>
          </w:p>
        </w:tc>
      </w:tr>
      <w:tr w:rsidR="009A7089" w14:paraId="43305E82" w14:textId="77777777" w:rsidTr="0053304A">
        <w:trPr>
          <w:trHeight w:val="318"/>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00035" w14:textId="77777777" w:rsidR="009A7089" w:rsidRDefault="00E62590">
            <w:pPr>
              <w:spacing w:line="256" w:lineRule="auto"/>
              <w:jc w:val="center"/>
              <w:rPr>
                <w:color w:val="4A4A4A"/>
                <w:sz w:val="21"/>
                <w:szCs w:val="21"/>
              </w:rPr>
            </w:pPr>
            <w:r>
              <w:rPr>
                <w:b/>
                <w:color w:val="4A4A4A"/>
                <w:sz w:val="21"/>
                <w:szCs w:val="21"/>
              </w:rPr>
              <w:t>Educational Level</w:t>
            </w:r>
          </w:p>
        </w:tc>
        <w:tc>
          <w:tcPr>
            <w:tcW w:w="56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000036" w14:textId="77777777" w:rsidR="009A7089" w:rsidRDefault="00E62590">
            <w:pPr>
              <w:spacing w:line="256" w:lineRule="auto"/>
              <w:ind w:right="52"/>
              <w:jc w:val="center"/>
              <w:rPr>
                <w:color w:val="4A4A4A"/>
                <w:sz w:val="21"/>
                <w:szCs w:val="21"/>
              </w:rPr>
            </w:pPr>
            <w:r>
              <w:rPr>
                <w:b/>
                <w:color w:val="4A4A4A"/>
                <w:sz w:val="21"/>
                <w:szCs w:val="21"/>
              </w:rPr>
              <w:t>Descriptor</w:t>
            </w:r>
          </w:p>
        </w:tc>
      </w:tr>
      <w:tr w:rsidR="009A7089" w14:paraId="31A687E1" w14:textId="77777777" w:rsidTr="00110E5E">
        <w:trPr>
          <w:trHeight w:val="50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37" w14:textId="77777777" w:rsidR="009A7089" w:rsidRDefault="00E62590">
            <w:pPr>
              <w:spacing w:line="256" w:lineRule="auto"/>
              <w:jc w:val="center"/>
              <w:rPr>
                <w:b/>
                <w:color w:val="4A4A4A"/>
                <w:sz w:val="21"/>
                <w:szCs w:val="21"/>
              </w:rPr>
            </w:pPr>
            <w:r>
              <w:rPr>
                <w:b/>
                <w:color w:val="4A4A4A"/>
                <w:sz w:val="21"/>
                <w:szCs w:val="21"/>
              </w:rPr>
              <w:t>Grades 2-3</w:t>
            </w:r>
          </w:p>
        </w:tc>
        <w:tc>
          <w:tcPr>
            <w:tcW w:w="5677" w:type="dxa"/>
            <w:tcBorders>
              <w:top w:val="single" w:sz="4" w:space="0" w:color="000000"/>
              <w:left w:val="single" w:sz="4" w:space="0" w:color="000000"/>
              <w:bottom w:val="single" w:sz="4" w:space="0" w:color="000000"/>
              <w:right w:val="single" w:sz="4" w:space="0" w:color="000000"/>
            </w:tcBorders>
            <w:vAlign w:val="center"/>
          </w:tcPr>
          <w:p w14:paraId="00000038" w14:textId="77777777" w:rsidR="009A7089" w:rsidRDefault="00E62590">
            <w:pPr>
              <w:spacing w:line="256" w:lineRule="auto"/>
              <w:ind w:right="52"/>
              <w:rPr>
                <w:b/>
                <w:color w:val="4A4A4A"/>
                <w:sz w:val="21"/>
                <w:szCs w:val="21"/>
              </w:rPr>
            </w:pPr>
            <w:r>
              <w:rPr>
                <w:color w:val="4A4A4A"/>
                <w:sz w:val="21"/>
                <w:szCs w:val="21"/>
              </w:rPr>
              <w:t>Students demonstrate skills in number sense and computation, shape recognition and spatial orientation.</w:t>
            </w:r>
          </w:p>
        </w:tc>
      </w:tr>
      <w:tr w:rsidR="009A7089" w14:paraId="5CB796BB" w14:textId="77777777" w:rsidTr="00110E5E">
        <w:trPr>
          <w:trHeight w:val="50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39" w14:textId="77777777" w:rsidR="009A7089" w:rsidRDefault="00E62590">
            <w:pPr>
              <w:spacing w:line="256" w:lineRule="auto"/>
              <w:jc w:val="center"/>
              <w:rPr>
                <w:b/>
                <w:color w:val="4A4A4A"/>
                <w:sz w:val="21"/>
                <w:szCs w:val="21"/>
              </w:rPr>
            </w:pPr>
            <w:r>
              <w:rPr>
                <w:b/>
                <w:color w:val="4A4A4A"/>
                <w:sz w:val="21"/>
                <w:szCs w:val="21"/>
              </w:rPr>
              <w:t>Grades 4-6</w:t>
            </w:r>
          </w:p>
        </w:tc>
        <w:tc>
          <w:tcPr>
            <w:tcW w:w="5677" w:type="dxa"/>
            <w:tcBorders>
              <w:top w:val="single" w:sz="4" w:space="0" w:color="000000"/>
              <w:left w:val="single" w:sz="4" w:space="0" w:color="000000"/>
              <w:bottom w:val="single" w:sz="4" w:space="0" w:color="000000"/>
              <w:right w:val="single" w:sz="4" w:space="0" w:color="000000"/>
            </w:tcBorders>
            <w:vAlign w:val="center"/>
          </w:tcPr>
          <w:p w14:paraId="0000003A" w14:textId="77777777" w:rsidR="009A7089" w:rsidRDefault="00E62590">
            <w:pPr>
              <w:spacing w:line="256" w:lineRule="auto"/>
              <w:ind w:right="52"/>
              <w:rPr>
                <w:b/>
                <w:color w:val="4A4A4A"/>
                <w:sz w:val="21"/>
                <w:szCs w:val="21"/>
              </w:rPr>
            </w:pPr>
            <w:r>
              <w:rPr>
                <w:color w:val="4A4A4A"/>
                <w:sz w:val="21"/>
                <w:szCs w:val="21"/>
              </w:rPr>
              <w:t xml:space="preserve">Students demonstrate skills in number sense and computation, basic measurement, reading, interpreting, and constructing graphs, spatial orientation, and number patterns. </w:t>
            </w:r>
          </w:p>
        </w:tc>
      </w:tr>
      <w:tr w:rsidR="009A7089" w14:paraId="0A1E7587" w14:textId="77777777" w:rsidTr="00110E5E">
        <w:trPr>
          <w:trHeight w:val="500"/>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0000003B" w14:textId="77777777" w:rsidR="009A7089" w:rsidRDefault="00E62590">
            <w:pPr>
              <w:spacing w:line="256" w:lineRule="auto"/>
              <w:jc w:val="center"/>
              <w:rPr>
                <w:b/>
                <w:color w:val="4A4A4A"/>
                <w:sz w:val="21"/>
                <w:szCs w:val="21"/>
              </w:rPr>
            </w:pPr>
            <w:r>
              <w:rPr>
                <w:b/>
                <w:color w:val="4A4A4A"/>
                <w:sz w:val="21"/>
                <w:szCs w:val="21"/>
              </w:rPr>
              <w:t>Grades 8 &amp; 9</w:t>
            </w:r>
          </w:p>
        </w:tc>
        <w:tc>
          <w:tcPr>
            <w:tcW w:w="5677" w:type="dxa"/>
            <w:tcBorders>
              <w:top w:val="single" w:sz="4" w:space="0" w:color="000000"/>
              <w:left w:val="single" w:sz="4" w:space="0" w:color="000000"/>
              <w:bottom w:val="single" w:sz="4" w:space="0" w:color="000000"/>
              <w:right w:val="single" w:sz="4" w:space="0" w:color="000000"/>
            </w:tcBorders>
            <w:vAlign w:val="center"/>
          </w:tcPr>
          <w:p w14:paraId="0000003C" w14:textId="77777777" w:rsidR="009A7089" w:rsidRDefault="00E62590">
            <w:pPr>
              <w:spacing w:line="256" w:lineRule="auto"/>
              <w:ind w:right="52"/>
              <w:rPr>
                <w:color w:val="4A4A4A"/>
                <w:sz w:val="21"/>
                <w:szCs w:val="21"/>
              </w:rPr>
            </w:pPr>
            <w:r>
              <w:rPr>
                <w:color w:val="4A4A4A"/>
                <w:sz w:val="21"/>
                <w:szCs w:val="21"/>
              </w:rPr>
              <w:t xml:space="preserve">Students demonstrate skills in computation, application problems, matching </w:t>
            </w:r>
            <w:proofErr w:type="gramStart"/>
            <w:r>
              <w:rPr>
                <w:color w:val="4A4A4A"/>
                <w:sz w:val="21"/>
                <w:szCs w:val="21"/>
              </w:rPr>
              <w:t>tables</w:t>
            </w:r>
            <w:proofErr w:type="gramEnd"/>
            <w:r>
              <w:rPr>
                <w:color w:val="4A4A4A"/>
                <w:sz w:val="21"/>
                <w:szCs w:val="21"/>
              </w:rPr>
              <w:t xml:space="preserve"> and graphs, and making use of algebraic representations.  </w:t>
            </w:r>
          </w:p>
        </w:tc>
      </w:tr>
    </w:tbl>
    <w:p w14:paraId="0000003E"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40"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2.b. Unit of measure </w:t>
      </w:r>
      <w:r>
        <w:rPr>
          <w:color w:val="B4B4B4"/>
          <w:sz w:val="20"/>
        </w:rPr>
        <w:t>(UNIT_MEASURE)</w:t>
      </w:r>
    </w:p>
    <w:p w14:paraId="00000043" w14:textId="64647905" w:rsidR="009A7089" w:rsidRDefault="002160E6">
      <w:pPr>
        <w:pBdr>
          <w:top w:val="nil"/>
          <w:left w:val="nil"/>
          <w:bottom w:val="nil"/>
          <w:right w:val="nil"/>
          <w:between w:val="nil"/>
        </w:pBdr>
        <w:shd w:val="clear" w:color="auto" w:fill="FFFFFF"/>
        <w:spacing w:after="0"/>
        <w:rPr>
          <w:color w:val="4A4A4A"/>
          <w:sz w:val="21"/>
          <w:szCs w:val="21"/>
        </w:rPr>
      </w:pPr>
      <w:r>
        <w:rPr>
          <w:color w:val="4A4A4A"/>
          <w:sz w:val="21"/>
          <w:szCs w:val="21"/>
        </w:rPr>
        <w:t>Percent</w:t>
      </w:r>
      <w:r w:rsidR="009756F7">
        <w:rPr>
          <w:color w:val="4A4A4A"/>
          <w:sz w:val="21"/>
          <w:szCs w:val="21"/>
        </w:rPr>
        <w:t xml:space="preserve"> (%)</w:t>
      </w:r>
    </w:p>
    <w:p w14:paraId="7D83A9A0" w14:textId="77777777" w:rsidR="009756F7" w:rsidRDefault="009756F7">
      <w:pPr>
        <w:pBdr>
          <w:top w:val="nil"/>
          <w:left w:val="nil"/>
          <w:bottom w:val="nil"/>
          <w:right w:val="nil"/>
          <w:between w:val="nil"/>
        </w:pBdr>
        <w:shd w:val="clear" w:color="auto" w:fill="FFFFFF"/>
        <w:spacing w:after="0"/>
        <w:rPr>
          <w:color w:val="4A4A4A"/>
          <w:sz w:val="21"/>
          <w:szCs w:val="21"/>
        </w:rPr>
      </w:pPr>
    </w:p>
    <w:p w14:paraId="5135D1CE" w14:textId="6D0D4E6C" w:rsidR="002A2C08" w:rsidRDefault="00E62590" w:rsidP="0053304A">
      <w:pPr>
        <w:pBdr>
          <w:top w:val="nil"/>
          <w:left w:val="nil"/>
          <w:bottom w:val="single" w:sz="12" w:space="4" w:color="DDDDDD"/>
          <w:right w:val="nil"/>
          <w:between w:val="nil"/>
        </w:pBdr>
        <w:shd w:val="clear" w:color="auto" w:fill="FFFFFF"/>
        <w:spacing w:after="100" w:line="240" w:lineRule="auto"/>
      </w:pPr>
      <w:r>
        <w:rPr>
          <w:color w:val="1C75BC"/>
          <w:sz w:val="26"/>
          <w:szCs w:val="26"/>
        </w:rPr>
        <w:t xml:space="preserve">2.c. Classifications </w:t>
      </w:r>
      <w:r>
        <w:rPr>
          <w:color w:val="B4B4B4"/>
          <w:sz w:val="20"/>
        </w:rPr>
        <w:t>(CLASS_SYSTEM)</w:t>
      </w:r>
    </w:p>
    <w:p w14:paraId="4ADA8576" w14:textId="211DC4D7" w:rsidR="002A2C08" w:rsidRDefault="00D221D0" w:rsidP="00053A4C">
      <w:pPr>
        <w:pBdr>
          <w:top w:val="nil"/>
          <w:left w:val="nil"/>
          <w:bottom w:val="nil"/>
          <w:right w:val="nil"/>
          <w:between w:val="nil"/>
        </w:pBdr>
        <w:shd w:val="clear" w:color="auto" w:fill="FFFFFF"/>
        <w:spacing w:after="0"/>
        <w:rPr>
          <w:color w:val="4A4A4A"/>
          <w:sz w:val="21"/>
          <w:szCs w:val="21"/>
          <w:u w:val="single"/>
        </w:rPr>
      </w:pPr>
      <w:r>
        <w:rPr>
          <w:color w:val="4A4A4A"/>
          <w:sz w:val="21"/>
          <w:szCs w:val="21"/>
        </w:rPr>
        <w:t xml:space="preserve">This indicator expresses a </w:t>
      </w:r>
      <w:proofErr w:type="gramStart"/>
      <w:r>
        <w:rPr>
          <w:i/>
          <w:color w:val="4A4A4A"/>
          <w:sz w:val="21"/>
          <w:szCs w:val="21"/>
        </w:rPr>
        <w:t>Minimum</w:t>
      </w:r>
      <w:proofErr w:type="gramEnd"/>
      <w:r>
        <w:rPr>
          <w:i/>
          <w:color w:val="4A4A4A"/>
          <w:sz w:val="21"/>
          <w:szCs w:val="21"/>
        </w:rPr>
        <w:t xml:space="preserve"> proficiency level (MPL) </w:t>
      </w:r>
      <w:r>
        <w:rPr>
          <w:color w:val="4A4A4A"/>
          <w:sz w:val="21"/>
          <w:szCs w:val="21"/>
        </w:rPr>
        <w:t xml:space="preserve">that is the benchmark of basic knowledge in a domain (mathematics, reading, etc.) measured through learning assessments. In September 2018, an agreement was reached on a verbal definition of the global minimum proficiency level of reference for each of the areas and domains of Indicator 4.1.1 as described in the </w:t>
      </w:r>
      <w:hyperlink r:id="rId13" w:history="1">
        <w:r>
          <w:rPr>
            <w:color w:val="4A4A4A"/>
            <w:sz w:val="21"/>
            <w:szCs w:val="21"/>
            <w:u w:val="single"/>
          </w:rPr>
          <w:t>Minimum Proficiency Levels (MPLs): Outcomes of the consensus building meeting</w:t>
        </w:r>
      </w:hyperlink>
      <w:r>
        <w:rPr>
          <w:color w:val="4A4A4A"/>
          <w:sz w:val="21"/>
          <w:szCs w:val="21"/>
          <w:u w:val="single"/>
        </w:rPr>
        <w:t>.</w:t>
      </w:r>
    </w:p>
    <w:p w14:paraId="0E152145" w14:textId="77777777" w:rsidR="00390088" w:rsidRPr="0053304A" w:rsidRDefault="00390088" w:rsidP="0053304A">
      <w:pPr>
        <w:pBdr>
          <w:top w:val="nil"/>
          <w:left w:val="nil"/>
          <w:bottom w:val="nil"/>
          <w:right w:val="nil"/>
          <w:between w:val="nil"/>
        </w:pBdr>
        <w:shd w:val="clear" w:color="auto" w:fill="FFFFFF"/>
        <w:spacing w:after="0"/>
        <w:rPr>
          <w:color w:val="4A4A4A"/>
          <w:sz w:val="21"/>
          <w:szCs w:val="21"/>
        </w:rPr>
      </w:pPr>
    </w:p>
    <w:p w14:paraId="00000049" w14:textId="382B3909" w:rsidR="009A7089" w:rsidRDefault="00247C72">
      <w:pPr>
        <w:pBdr>
          <w:top w:val="nil"/>
          <w:left w:val="nil"/>
          <w:bottom w:val="single" w:sz="12" w:space="4" w:color="DDDDDD"/>
          <w:right w:val="nil"/>
          <w:between w:val="nil"/>
        </w:pBdr>
        <w:shd w:val="clear" w:color="auto" w:fill="FFFFFF"/>
        <w:spacing w:after="0"/>
        <w:rPr>
          <w:color w:val="1C75BC"/>
          <w:sz w:val="32"/>
          <w:szCs w:val="32"/>
        </w:rPr>
      </w:pPr>
      <w:sdt>
        <w:sdtPr>
          <w:tag w:val="goog_rdk_18"/>
          <w:id w:val="-546603252"/>
        </w:sdtPr>
        <w:sdtEndPr/>
        <w:sdtContent>
          <w:sdt>
            <w:sdtPr>
              <w:tag w:val="goog_rdk_17"/>
              <w:id w:val="1980333987"/>
            </w:sdtPr>
            <w:sdtEndPr/>
            <w:sdtContent/>
          </w:sdt>
        </w:sdtContent>
      </w:sdt>
      <w:sdt>
        <w:sdtPr>
          <w:tag w:val="goog_rdk_20"/>
          <w:id w:val="-1768147884"/>
        </w:sdtPr>
        <w:sdtEndPr/>
        <w:sdtContent>
          <w:sdt>
            <w:sdtPr>
              <w:tag w:val="goog_rdk_19"/>
              <w:id w:val="1099603708"/>
            </w:sdtPr>
            <w:sdtEndPr/>
            <w:sdtContent/>
          </w:sdt>
        </w:sdtContent>
      </w:sdt>
      <w:r w:rsidR="00E62590">
        <w:rPr>
          <w:color w:val="1C75BC"/>
          <w:sz w:val="32"/>
          <w:szCs w:val="32"/>
        </w:rPr>
        <w:t xml:space="preserve">3. Data source type and data collection method </w:t>
      </w:r>
      <w:r>
        <w:rPr>
          <w:color w:val="B4B4B4"/>
          <w:sz w:val="20"/>
        </w:rPr>
        <w:t>(SRC_TYPE_COLL_METHOD)</w:t>
      </w:r>
    </w:p>
    <w:p w14:paraId="0000004A"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3.a. Data sources </w:t>
      </w:r>
      <w:r>
        <w:rPr>
          <w:color w:val="B4B4B4"/>
          <w:sz w:val="20"/>
        </w:rPr>
        <w:t>(SOURCE_TYPE)</w:t>
      </w:r>
    </w:p>
    <w:p w14:paraId="0000004B" w14:textId="77777777" w:rsidR="009A7089" w:rsidRDefault="00E62590" w:rsidP="00110E5E">
      <w:pPr>
        <w:spacing w:after="0"/>
        <w:rPr>
          <w:color w:val="4A4A4A"/>
          <w:sz w:val="21"/>
          <w:szCs w:val="21"/>
        </w:rPr>
      </w:pPr>
      <w:r>
        <w:rPr>
          <w:color w:val="4A4A4A"/>
          <w:sz w:val="21"/>
          <w:szCs w:val="21"/>
        </w:rPr>
        <w:t>Type of data sources: In school and population-based learning assessments.</w:t>
      </w:r>
    </w:p>
    <w:p w14:paraId="0000004C" w14:textId="77777777" w:rsidR="009A7089" w:rsidRPr="00FD31CB" w:rsidRDefault="009A7089" w:rsidP="00FD31CB">
      <w:pPr>
        <w:shd w:val="clear" w:color="auto" w:fill="FFFFFF"/>
        <w:spacing w:after="0"/>
        <w:rPr>
          <w:color w:val="4A4A4A"/>
          <w:sz w:val="21"/>
          <w:highlight w:val="yellow"/>
        </w:rPr>
      </w:pPr>
    </w:p>
    <w:p w14:paraId="0000004D" w14:textId="6FAA9591" w:rsidR="009A7089" w:rsidRDefault="00E62590">
      <w:pPr>
        <w:pBdr>
          <w:top w:val="nil"/>
          <w:left w:val="nil"/>
          <w:bottom w:val="nil"/>
          <w:right w:val="nil"/>
          <w:between w:val="nil"/>
        </w:pBdr>
        <w:shd w:val="clear" w:color="auto" w:fill="FFFFFF"/>
        <w:spacing w:after="0"/>
        <w:jc w:val="center"/>
        <w:rPr>
          <w:b/>
          <w:color w:val="4A4A4A"/>
          <w:sz w:val="21"/>
          <w:szCs w:val="21"/>
        </w:rPr>
      </w:pPr>
      <w:r>
        <w:rPr>
          <w:b/>
          <w:color w:val="4A4A4A"/>
          <w:sz w:val="21"/>
          <w:szCs w:val="21"/>
        </w:rPr>
        <w:t>Table 2. How reporting is structured?</w:t>
      </w:r>
    </w:p>
    <w:tbl>
      <w:tblPr>
        <w:tblStyle w:val="a1"/>
        <w:tblW w:w="9016" w:type="dxa"/>
        <w:jc w:val="center"/>
        <w:tblLayout w:type="fixed"/>
        <w:tblLook w:val="0400" w:firstRow="0" w:lastRow="0" w:firstColumn="0" w:lastColumn="0" w:noHBand="0" w:noVBand="1"/>
      </w:tblPr>
      <w:tblGrid>
        <w:gridCol w:w="1167"/>
        <w:gridCol w:w="1376"/>
        <w:gridCol w:w="999"/>
        <w:gridCol w:w="1700"/>
        <w:gridCol w:w="3774"/>
      </w:tblGrid>
      <w:tr w:rsidR="00744934" w14:paraId="371BC49F" w14:textId="77777777">
        <w:trPr>
          <w:trHeight w:val="300"/>
          <w:jc w:val="center"/>
        </w:trPr>
        <w:tc>
          <w:tcPr>
            <w:tcW w:w="1167"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0000004E" w14:textId="77777777" w:rsidR="009A7089" w:rsidRDefault="00E62590">
            <w:pPr>
              <w:spacing w:after="0" w:line="240" w:lineRule="auto"/>
              <w:rPr>
                <w:color w:val="4A4A4A"/>
                <w:sz w:val="21"/>
                <w:szCs w:val="21"/>
              </w:rPr>
            </w:pPr>
            <w:r>
              <w:rPr>
                <w:color w:val="4A4A4A"/>
                <w:sz w:val="21"/>
                <w:szCs w:val="21"/>
              </w:rPr>
              <w:t> </w:t>
            </w:r>
          </w:p>
        </w:tc>
        <w:tc>
          <w:tcPr>
            <w:tcW w:w="2375" w:type="dxa"/>
            <w:gridSpan w:val="2"/>
            <w:tcBorders>
              <w:top w:val="single" w:sz="4" w:space="0" w:color="000000"/>
              <w:left w:val="nil"/>
              <w:bottom w:val="single" w:sz="4" w:space="0" w:color="000000"/>
              <w:right w:val="single" w:sz="4" w:space="0" w:color="000000"/>
            </w:tcBorders>
            <w:shd w:val="clear" w:color="auto" w:fill="BFBFBF"/>
            <w:vAlign w:val="center"/>
          </w:tcPr>
          <w:p w14:paraId="0000004F" w14:textId="77777777" w:rsidR="009A7089" w:rsidRDefault="00E62590">
            <w:pPr>
              <w:spacing w:after="0" w:line="240" w:lineRule="auto"/>
              <w:jc w:val="center"/>
              <w:rPr>
                <w:b/>
                <w:color w:val="4A4A4A"/>
                <w:sz w:val="21"/>
                <w:szCs w:val="21"/>
              </w:rPr>
            </w:pPr>
            <w:r>
              <w:rPr>
                <w:b/>
                <w:color w:val="4A4A4A"/>
                <w:sz w:val="21"/>
                <w:szCs w:val="21"/>
              </w:rPr>
              <w:t>In-school based</w:t>
            </w:r>
          </w:p>
        </w:tc>
        <w:tc>
          <w:tcPr>
            <w:tcW w:w="1700"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00000051" w14:textId="77777777" w:rsidR="009A7089" w:rsidRDefault="00E62590">
            <w:pPr>
              <w:spacing w:after="0" w:line="240" w:lineRule="auto"/>
              <w:jc w:val="center"/>
              <w:rPr>
                <w:b/>
                <w:color w:val="4A4A4A"/>
                <w:sz w:val="21"/>
                <w:szCs w:val="21"/>
              </w:rPr>
            </w:pPr>
            <w:r>
              <w:rPr>
                <w:b/>
                <w:color w:val="4A4A4A"/>
                <w:sz w:val="21"/>
                <w:szCs w:val="21"/>
              </w:rPr>
              <w:t>Household Based Surveys</w:t>
            </w:r>
          </w:p>
        </w:tc>
        <w:tc>
          <w:tcPr>
            <w:tcW w:w="3774"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00000052" w14:textId="77777777" w:rsidR="009A7089" w:rsidRDefault="00E62590">
            <w:pPr>
              <w:spacing w:after="0" w:line="240" w:lineRule="auto"/>
              <w:jc w:val="center"/>
              <w:rPr>
                <w:b/>
                <w:color w:val="4A4A4A"/>
                <w:sz w:val="21"/>
                <w:szCs w:val="21"/>
              </w:rPr>
            </w:pPr>
            <w:r>
              <w:rPr>
                <w:b/>
                <w:color w:val="4A4A4A"/>
                <w:sz w:val="21"/>
                <w:szCs w:val="21"/>
              </w:rPr>
              <w:t>Grade</w:t>
            </w:r>
          </w:p>
        </w:tc>
      </w:tr>
      <w:tr w:rsidR="00744934" w14:paraId="3F52D5B0" w14:textId="77777777">
        <w:trPr>
          <w:trHeight w:val="300"/>
          <w:jc w:val="center"/>
        </w:trPr>
        <w:tc>
          <w:tcPr>
            <w:tcW w:w="1167"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00000053" w14:textId="77777777" w:rsidR="009A7089" w:rsidRDefault="009A7089">
            <w:pPr>
              <w:widowControl w:val="0"/>
              <w:pBdr>
                <w:top w:val="nil"/>
                <w:left w:val="nil"/>
                <w:bottom w:val="nil"/>
                <w:right w:val="nil"/>
                <w:between w:val="nil"/>
              </w:pBdr>
              <w:spacing w:after="0"/>
              <w:rPr>
                <w:b/>
                <w:color w:val="4A4A4A"/>
                <w:sz w:val="21"/>
                <w:szCs w:val="21"/>
              </w:rPr>
            </w:pPr>
          </w:p>
        </w:tc>
        <w:tc>
          <w:tcPr>
            <w:tcW w:w="1376" w:type="dxa"/>
            <w:tcBorders>
              <w:top w:val="nil"/>
              <w:left w:val="nil"/>
              <w:bottom w:val="single" w:sz="4" w:space="0" w:color="000000"/>
              <w:right w:val="single" w:sz="4" w:space="0" w:color="000000"/>
            </w:tcBorders>
            <w:shd w:val="clear" w:color="auto" w:fill="BFBFBF"/>
            <w:vAlign w:val="center"/>
          </w:tcPr>
          <w:p w14:paraId="00000054" w14:textId="77777777" w:rsidR="009A7089" w:rsidRDefault="00E62590">
            <w:pPr>
              <w:spacing w:after="0" w:line="240" w:lineRule="auto"/>
              <w:rPr>
                <w:b/>
                <w:color w:val="4A4A4A"/>
                <w:sz w:val="21"/>
                <w:szCs w:val="21"/>
              </w:rPr>
            </w:pPr>
            <w:r>
              <w:rPr>
                <w:b/>
                <w:color w:val="4A4A4A"/>
                <w:sz w:val="21"/>
                <w:szCs w:val="21"/>
              </w:rPr>
              <w:t>Cross-national</w:t>
            </w:r>
          </w:p>
        </w:tc>
        <w:tc>
          <w:tcPr>
            <w:tcW w:w="999" w:type="dxa"/>
            <w:tcBorders>
              <w:top w:val="nil"/>
              <w:left w:val="nil"/>
              <w:bottom w:val="single" w:sz="4" w:space="0" w:color="000000"/>
              <w:right w:val="single" w:sz="4" w:space="0" w:color="000000"/>
            </w:tcBorders>
            <w:shd w:val="clear" w:color="auto" w:fill="BFBFBF"/>
            <w:vAlign w:val="center"/>
          </w:tcPr>
          <w:p w14:paraId="00000055" w14:textId="77777777" w:rsidR="009A7089" w:rsidRDefault="00E62590">
            <w:pPr>
              <w:spacing w:after="0" w:line="240" w:lineRule="auto"/>
              <w:rPr>
                <w:b/>
                <w:color w:val="4A4A4A"/>
                <w:sz w:val="21"/>
                <w:szCs w:val="21"/>
              </w:rPr>
            </w:pPr>
            <w:r>
              <w:rPr>
                <w:b/>
                <w:color w:val="4A4A4A"/>
                <w:sz w:val="21"/>
                <w:szCs w:val="21"/>
              </w:rPr>
              <w:t xml:space="preserve">National </w:t>
            </w:r>
          </w:p>
        </w:tc>
        <w:tc>
          <w:tcPr>
            <w:tcW w:w="1700"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00000056" w14:textId="77777777" w:rsidR="009A7089" w:rsidRDefault="009A7089">
            <w:pPr>
              <w:widowControl w:val="0"/>
              <w:pBdr>
                <w:top w:val="nil"/>
                <w:left w:val="nil"/>
                <w:bottom w:val="nil"/>
                <w:right w:val="nil"/>
                <w:between w:val="nil"/>
              </w:pBdr>
              <w:spacing w:after="0"/>
              <w:rPr>
                <w:b/>
                <w:color w:val="4A4A4A"/>
                <w:sz w:val="21"/>
                <w:szCs w:val="21"/>
              </w:rPr>
            </w:pPr>
          </w:p>
        </w:tc>
        <w:tc>
          <w:tcPr>
            <w:tcW w:w="3774" w:type="dxa"/>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00000057" w14:textId="77777777" w:rsidR="009A7089" w:rsidRDefault="009A7089">
            <w:pPr>
              <w:widowControl w:val="0"/>
              <w:pBdr>
                <w:top w:val="nil"/>
                <w:left w:val="nil"/>
                <w:bottom w:val="nil"/>
                <w:right w:val="nil"/>
                <w:between w:val="nil"/>
              </w:pBdr>
              <w:spacing w:after="0"/>
              <w:rPr>
                <w:b/>
                <w:color w:val="4A4A4A"/>
                <w:sz w:val="21"/>
                <w:szCs w:val="21"/>
              </w:rPr>
            </w:pPr>
          </w:p>
        </w:tc>
      </w:tr>
      <w:tr w:rsidR="00744934" w14:paraId="7094235E" w14:textId="77777777">
        <w:trPr>
          <w:trHeight w:val="300"/>
          <w:jc w:val="center"/>
        </w:trPr>
        <w:tc>
          <w:tcPr>
            <w:tcW w:w="1167" w:type="dxa"/>
            <w:vMerge w:val="restart"/>
            <w:tcBorders>
              <w:top w:val="nil"/>
              <w:left w:val="single" w:sz="4" w:space="0" w:color="000000"/>
              <w:bottom w:val="single" w:sz="4" w:space="0" w:color="000000"/>
              <w:right w:val="single" w:sz="4" w:space="0" w:color="000000"/>
            </w:tcBorders>
            <w:vAlign w:val="center"/>
          </w:tcPr>
          <w:p w14:paraId="00000058" w14:textId="77777777" w:rsidR="009A7089" w:rsidRDefault="00E62590">
            <w:pPr>
              <w:spacing w:after="0" w:line="240" w:lineRule="auto"/>
              <w:rPr>
                <w:b/>
                <w:color w:val="4A4A4A"/>
                <w:sz w:val="21"/>
                <w:szCs w:val="21"/>
              </w:rPr>
            </w:pPr>
            <w:r>
              <w:rPr>
                <w:b/>
                <w:color w:val="4A4A4A"/>
                <w:sz w:val="21"/>
                <w:szCs w:val="21"/>
              </w:rPr>
              <w:t>Grade 2 or 3</w:t>
            </w:r>
          </w:p>
        </w:tc>
        <w:tc>
          <w:tcPr>
            <w:tcW w:w="1376" w:type="dxa"/>
            <w:tcBorders>
              <w:top w:val="nil"/>
              <w:left w:val="nil"/>
              <w:bottom w:val="single" w:sz="4" w:space="0" w:color="000000"/>
              <w:right w:val="single" w:sz="4" w:space="0" w:color="000000"/>
            </w:tcBorders>
            <w:vAlign w:val="center"/>
          </w:tcPr>
          <w:p w14:paraId="00000059" w14:textId="77777777" w:rsidR="009A7089" w:rsidRDefault="00E62590">
            <w:pPr>
              <w:spacing w:after="0" w:line="240" w:lineRule="auto"/>
              <w:rPr>
                <w:color w:val="4A4A4A"/>
                <w:sz w:val="21"/>
                <w:szCs w:val="21"/>
              </w:rPr>
            </w:pPr>
            <w:r>
              <w:rPr>
                <w:color w:val="4A4A4A"/>
                <w:sz w:val="21"/>
                <w:szCs w:val="21"/>
              </w:rPr>
              <w:t>LLECE</w:t>
            </w:r>
          </w:p>
        </w:tc>
        <w:tc>
          <w:tcPr>
            <w:tcW w:w="999" w:type="dxa"/>
            <w:vMerge w:val="restart"/>
            <w:tcBorders>
              <w:top w:val="nil"/>
              <w:left w:val="single" w:sz="4" w:space="0" w:color="000000"/>
              <w:bottom w:val="single" w:sz="4" w:space="0" w:color="000000"/>
              <w:right w:val="single" w:sz="4" w:space="0" w:color="000000"/>
            </w:tcBorders>
            <w:vAlign w:val="center"/>
          </w:tcPr>
          <w:p w14:paraId="0000005A" w14:textId="77777777" w:rsidR="009A7089" w:rsidRDefault="00E62590">
            <w:pPr>
              <w:spacing w:after="0" w:line="240" w:lineRule="auto"/>
              <w:rPr>
                <w:color w:val="4A4A4A"/>
                <w:sz w:val="21"/>
                <w:szCs w:val="21"/>
              </w:rPr>
            </w:pPr>
            <w:r>
              <w:rPr>
                <w:color w:val="4A4A4A"/>
                <w:sz w:val="21"/>
                <w:szCs w:val="21"/>
              </w:rPr>
              <w:t>Yes</w:t>
            </w:r>
          </w:p>
        </w:tc>
        <w:tc>
          <w:tcPr>
            <w:tcW w:w="1700" w:type="dxa"/>
            <w:tcBorders>
              <w:top w:val="nil"/>
              <w:left w:val="nil"/>
              <w:bottom w:val="single" w:sz="4" w:space="0" w:color="000000"/>
              <w:right w:val="single" w:sz="4" w:space="0" w:color="000000"/>
            </w:tcBorders>
            <w:vAlign w:val="center"/>
          </w:tcPr>
          <w:p w14:paraId="0000005B" w14:textId="77777777" w:rsidR="009A7089" w:rsidRDefault="00E62590">
            <w:pPr>
              <w:spacing w:after="0" w:line="240" w:lineRule="auto"/>
              <w:rPr>
                <w:color w:val="4A4A4A"/>
                <w:sz w:val="21"/>
                <w:szCs w:val="21"/>
              </w:rPr>
            </w:pPr>
            <w:r>
              <w:rPr>
                <w:color w:val="4A4A4A"/>
                <w:sz w:val="21"/>
                <w:szCs w:val="21"/>
              </w:rPr>
              <w:t>MICS6</w:t>
            </w:r>
          </w:p>
        </w:tc>
        <w:tc>
          <w:tcPr>
            <w:tcW w:w="3774" w:type="dxa"/>
            <w:vMerge w:val="restart"/>
            <w:tcBorders>
              <w:top w:val="nil"/>
              <w:left w:val="single" w:sz="4" w:space="0" w:color="000000"/>
              <w:bottom w:val="single" w:sz="4" w:space="0" w:color="000000"/>
              <w:right w:val="single" w:sz="4" w:space="0" w:color="000000"/>
            </w:tcBorders>
            <w:vAlign w:val="center"/>
          </w:tcPr>
          <w:p w14:paraId="0000005C" w14:textId="77777777" w:rsidR="009A7089" w:rsidRDefault="00E62590">
            <w:pPr>
              <w:spacing w:after="0" w:line="240" w:lineRule="auto"/>
              <w:rPr>
                <w:color w:val="4A4A4A"/>
                <w:sz w:val="21"/>
                <w:szCs w:val="21"/>
              </w:rPr>
            </w:pPr>
            <w:r>
              <w:rPr>
                <w:color w:val="4A4A4A"/>
                <w:sz w:val="21"/>
                <w:szCs w:val="21"/>
              </w:rPr>
              <w:t>2/3 plus one year when primary lasts more than 4 years according to ISCED level of the country</w:t>
            </w:r>
            <w:sdt>
              <w:sdtPr>
                <w:tag w:val="goog_rdk_22"/>
                <w:id w:val="-810014399"/>
              </w:sdtPr>
              <w:sdtEndPr/>
              <w:sdtContent>
                <w:r>
                  <w:rPr>
                    <w:color w:val="4A4A4A"/>
                    <w:sz w:val="21"/>
                    <w:szCs w:val="21"/>
                  </w:rPr>
                  <w:t>, except for TIMSS/PIRLS grade 4, which are mapped to the end of primary when primary lasts six or less years.</w:t>
                </w:r>
              </w:sdtContent>
            </w:sdt>
          </w:p>
        </w:tc>
      </w:tr>
      <w:tr w:rsidR="00744934" w14:paraId="7E1DAFC0" w14:textId="77777777">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5D"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5E" w14:textId="77777777" w:rsidR="009A7089" w:rsidRDefault="00E62590">
            <w:pPr>
              <w:spacing w:after="0" w:line="240" w:lineRule="auto"/>
              <w:rPr>
                <w:color w:val="4A4A4A"/>
                <w:sz w:val="21"/>
                <w:szCs w:val="21"/>
              </w:rPr>
            </w:pPr>
            <w:r>
              <w:rPr>
                <w:color w:val="4A4A4A"/>
                <w:sz w:val="21"/>
                <w:szCs w:val="21"/>
              </w:rPr>
              <w:t>PASEC</w:t>
            </w:r>
          </w:p>
        </w:tc>
        <w:tc>
          <w:tcPr>
            <w:tcW w:w="999" w:type="dxa"/>
            <w:vMerge/>
            <w:tcBorders>
              <w:top w:val="nil"/>
              <w:left w:val="single" w:sz="4" w:space="0" w:color="000000"/>
              <w:bottom w:val="single" w:sz="4" w:space="0" w:color="000000"/>
              <w:right w:val="single" w:sz="4" w:space="0" w:color="000000"/>
            </w:tcBorders>
            <w:vAlign w:val="center"/>
          </w:tcPr>
          <w:p w14:paraId="0000005F"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tcBorders>
              <w:top w:val="nil"/>
              <w:left w:val="nil"/>
              <w:bottom w:val="single" w:sz="4" w:space="0" w:color="000000"/>
              <w:right w:val="single" w:sz="4" w:space="0" w:color="000000"/>
            </w:tcBorders>
            <w:vAlign w:val="center"/>
          </w:tcPr>
          <w:p w14:paraId="00000060" w14:textId="77777777" w:rsidR="009A7089" w:rsidRDefault="00E62590">
            <w:pPr>
              <w:spacing w:after="0" w:line="240" w:lineRule="auto"/>
              <w:rPr>
                <w:color w:val="4A4A4A"/>
                <w:sz w:val="21"/>
                <w:szCs w:val="21"/>
              </w:rPr>
            </w:pPr>
            <w:r>
              <w:rPr>
                <w:color w:val="4A4A4A"/>
                <w:sz w:val="21"/>
                <w:szCs w:val="21"/>
              </w:rPr>
              <w:t>EGRA</w:t>
            </w:r>
          </w:p>
        </w:tc>
        <w:tc>
          <w:tcPr>
            <w:tcW w:w="3774" w:type="dxa"/>
            <w:vMerge/>
            <w:tcBorders>
              <w:top w:val="nil"/>
              <w:left w:val="single" w:sz="4" w:space="0" w:color="000000"/>
              <w:bottom w:val="single" w:sz="4" w:space="0" w:color="000000"/>
              <w:right w:val="single" w:sz="4" w:space="0" w:color="000000"/>
            </w:tcBorders>
            <w:vAlign w:val="center"/>
          </w:tcPr>
          <w:p w14:paraId="00000061" w14:textId="77777777" w:rsidR="009A7089" w:rsidRDefault="009A7089">
            <w:pPr>
              <w:widowControl w:val="0"/>
              <w:pBdr>
                <w:top w:val="nil"/>
                <w:left w:val="nil"/>
                <w:bottom w:val="nil"/>
                <w:right w:val="nil"/>
                <w:between w:val="nil"/>
              </w:pBdr>
              <w:spacing w:after="0"/>
              <w:rPr>
                <w:color w:val="4A4A4A"/>
                <w:sz w:val="21"/>
                <w:szCs w:val="21"/>
              </w:rPr>
            </w:pPr>
          </w:p>
        </w:tc>
      </w:tr>
      <w:tr w:rsidR="00744934" w14:paraId="53EC5A73" w14:textId="77777777">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62"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63" w14:textId="77777777" w:rsidR="009A7089" w:rsidRDefault="00E62590">
            <w:pPr>
              <w:spacing w:after="0" w:line="240" w:lineRule="auto"/>
              <w:rPr>
                <w:color w:val="4A4A4A"/>
                <w:sz w:val="21"/>
                <w:szCs w:val="21"/>
              </w:rPr>
            </w:pPr>
            <w:r>
              <w:rPr>
                <w:color w:val="4A4A4A"/>
                <w:sz w:val="21"/>
                <w:szCs w:val="21"/>
              </w:rPr>
              <w:t xml:space="preserve">TIMSS </w:t>
            </w:r>
          </w:p>
        </w:tc>
        <w:tc>
          <w:tcPr>
            <w:tcW w:w="999" w:type="dxa"/>
            <w:vMerge/>
            <w:tcBorders>
              <w:top w:val="nil"/>
              <w:left w:val="single" w:sz="4" w:space="0" w:color="000000"/>
              <w:bottom w:val="single" w:sz="4" w:space="0" w:color="000000"/>
              <w:right w:val="single" w:sz="4" w:space="0" w:color="000000"/>
            </w:tcBorders>
            <w:vAlign w:val="center"/>
          </w:tcPr>
          <w:p w14:paraId="00000064"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tcBorders>
              <w:top w:val="nil"/>
              <w:left w:val="nil"/>
              <w:bottom w:val="single" w:sz="4" w:space="0" w:color="000000"/>
              <w:right w:val="single" w:sz="4" w:space="0" w:color="000000"/>
            </w:tcBorders>
            <w:vAlign w:val="center"/>
          </w:tcPr>
          <w:p w14:paraId="00000065" w14:textId="77777777" w:rsidR="009A7089" w:rsidRDefault="00E62590">
            <w:pPr>
              <w:spacing w:after="0" w:line="240" w:lineRule="auto"/>
              <w:rPr>
                <w:color w:val="4A4A4A"/>
                <w:sz w:val="21"/>
                <w:szCs w:val="21"/>
              </w:rPr>
            </w:pPr>
            <w:r>
              <w:rPr>
                <w:color w:val="4A4A4A"/>
                <w:sz w:val="21"/>
                <w:szCs w:val="21"/>
              </w:rPr>
              <w:t>EGMA</w:t>
            </w:r>
          </w:p>
        </w:tc>
        <w:tc>
          <w:tcPr>
            <w:tcW w:w="3774" w:type="dxa"/>
            <w:vMerge/>
            <w:tcBorders>
              <w:top w:val="nil"/>
              <w:left w:val="single" w:sz="4" w:space="0" w:color="000000"/>
              <w:bottom w:val="single" w:sz="4" w:space="0" w:color="000000"/>
              <w:right w:val="single" w:sz="4" w:space="0" w:color="000000"/>
            </w:tcBorders>
            <w:vAlign w:val="center"/>
          </w:tcPr>
          <w:p w14:paraId="00000066"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2D56D7CD" w14:textId="77777777" w:rsidTr="00110E5E">
        <w:trPr>
          <w:trHeight w:val="70"/>
          <w:jc w:val="center"/>
        </w:trPr>
        <w:tc>
          <w:tcPr>
            <w:tcW w:w="1167" w:type="dxa"/>
            <w:vMerge/>
            <w:tcBorders>
              <w:top w:val="nil"/>
              <w:left w:val="single" w:sz="4" w:space="0" w:color="000000"/>
              <w:bottom w:val="single" w:sz="4" w:space="0" w:color="000000"/>
              <w:right w:val="single" w:sz="4" w:space="0" w:color="000000"/>
            </w:tcBorders>
            <w:vAlign w:val="center"/>
          </w:tcPr>
          <w:p w14:paraId="00000067"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single" w:sz="4" w:space="0" w:color="000000"/>
              <w:left w:val="nil"/>
              <w:bottom w:val="single" w:sz="4" w:space="0" w:color="000000"/>
              <w:right w:val="single" w:sz="4" w:space="0" w:color="000000"/>
            </w:tcBorders>
            <w:vAlign w:val="center"/>
          </w:tcPr>
          <w:p w14:paraId="00000068" w14:textId="77777777" w:rsidR="009A7089" w:rsidRDefault="00E62590">
            <w:pPr>
              <w:spacing w:after="0" w:line="240" w:lineRule="auto"/>
              <w:rPr>
                <w:color w:val="4A4A4A"/>
                <w:sz w:val="21"/>
                <w:szCs w:val="21"/>
              </w:rPr>
            </w:pPr>
            <w:r>
              <w:rPr>
                <w:color w:val="4A4A4A"/>
                <w:sz w:val="21"/>
                <w:szCs w:val="21"/>
              </w:rPr>
              <w:t xml:space="preserve">PIRLS </w:t>
            </w:r>
          </w:p>
        </w:tc>
        <w:tc>
          <w:tcPr>
            <w:tcW w:w="999" w:type="dxa"/>
            <w:vMerge/>
            <w:tcBorders>
              <w:top w:val="nil"/>
              <w:left w:val="single" w:sz="4" w:space="0" w:color="000000"/>
              <w:bottom w:val="single" w:sz="4" w:space="0" w:color="000000"/>
              <w:right w:val="single" w:sz="4" w:space="0" w:color="000000"/>
            </w:tcBorders>
            <w:vAlign w:val="center"/>
          </w:tcPr>
          <w:p w14:paraId="00000069"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tcBorders>
              <w:top w:val="single" w:sz="4" w:space="0" w:color="000000"/>
              <w:left w:val="nil"/>
              <w:bottom w:val="single" w:sz="4" w:space="0" w:color="000000"/>
              <w:right w:val="single" w:sz="4" w:space="0" w:color="000000"/>
            </w:tcBorders>
          </w:tcPr>
          <w:p w14:paraId="0000006A" w14:textId="77777777" w:rsidR="009A7089" w:rsidRDefault="00E62590">
            <w:pPr>
              <w:spacing w:after="0" w:line="240" w:lineRule="auto"/>
              <w:rPr>
                <w:color w:val="4A4A4A"/>
                <w:sz w:val="21"/>
                <w:szCs w:val="21"/>
              </w:rPr>
            </w:pPr>
            <w:r>
              <w:rPr>
                <w:color w:val="4A4A4A"/>
                <w:sz w:val="21"/>
                <w:szCs w:val="21"/>
              </w:rPr>
              <w:t>PAL network </w:t>
            </w:r>
          </w:p>
        </w:tc>
        <w:tc>
          <w:tcPr>
            <w:tcW w:w="3774" w:type="dxa"/>
            <w:vMerge/>
            <w:tcBorders>
              <w:top w:val="nil"/>
              <w:left w:val="single" w:sz="4" w:space="0" w:color="000000"/>
              <w:bottom w:val="single" w:sz="4" w:space="0" w:color="000000"/>
              <w:right w:val="single" w:sz="4" w:space="0" w:color="000000"/>
            </w:tcBorders>
            <w:vAlign w:val="center"/>
          </w:tcPr>
          <w:p w14:paraId="0000006B" w14:textId="77777777" w:rsidR="009A7089" w:rsidRDefault="009A7089">
            <w:pPr>
              <w:widowControl w:val="0"/>
              <w:pBdr>
                <w:top w:val="nil"/>
                <w:left w:val="nil"/>
                <w:bottom w:val="nil"/>
                <w:right w:val="nil"/>
                <w:between w:val="nil"/>
              </w:pBdr>
              <w:spacing w:after="0"/>
              <w:rPr>
                <w:color w:val="4A4A4A"/>
                <w:sz w:val="21"/>
                <w:szCs w:val="21"/>
              </w:rPr>
            </w:pPr>
          </w:p>
        </w:tc>
      </w:tr>
      <w:tr w:rsidR="00744934" w14:paraId="3C703D8F" w14:textId="77777777">
        <w:trPr>
          <w:trHeight w:val="300"/>
          <w:jc w:val="center"/>
        </w:trPr>
        <w:tc>
          <w:tcPr>
            <w:tcW w:w="1167" w:type="dxa"/>
            <w:vMerge w:val="restart"/>
            <w:tcBorders>
              <w:top w:val="nil"/>
              <w:left w:val="single" w:sz="4" w:space="0" w:color="000000"/>
              <w:bottom w:val="single" w:sz="4" w:space="0" w:color="000000"/>
              <w:right w:val="single" w:sz="4" w:space="0" w:color="000000"/>
            </w:tcBorders>
            <w:vAlign w:val="center"/>
          </w:tcPr>
          <w:p w14:paraId="0000006C" w14:textId="77777777" w:rsidR="009A7089" w:rsidRDefault="00E62590">
            <w:pPr>
              <w:spacing w:after="0" w:line="240" w:lineRule="auto"/>
              <w:rPr>
                <w:b/>
                <w:color w:val="4A4A4A"/>
                <w:sz w:val="21"/>
                <w:szCs w:val="21"/>
              </w:rPr>
            </w:pPr>
            <w:r>
              <w:rPr>
                <w:b/>
                <w:color w:val="4A4A4A"/>
                <w:sz w:val="21"/>
                <w:szCs w:val="21"/>
              </w:rPr>
              <w:t>End of primary</w:t>
            </w:r>
          </w:p>
        </w:tc>
        <w:tc>
          <w:tcPr>
            <w:tcW w:w="1376" w:type="dxa"/>
            <w:tcBorders>
              <w:top w:val="single" w:sz="4" w:space="0" w:color="000000"/>
              <w:left w:val="nil"/>
              <w:bottom w:val="single" w:sz="4" w:space="0" w:color="000000"/>
              <w:right w:val="single" w:sz="4" w:space="0" w:color="000000"/>
            </w:tcBorders>
            <w:vAlign w:val="center"/>
          </w:tcPr>
          <w:p w14:paraId="0000006D" w14:textId="77777777" w:rsidR="009A7089" w:rsidRDefault="00E62590">
            <w:pPr>
              <w:spacing w:after="0" w:line="240" w:lineRule="auto"/>
              <w:rPr>
                <w:color w:val="4A4A4A"/>
                <w:sz w:val="21"/>
                <w:szCs w:val="21"/>
              </w:rPr>
            </w:pPr>
            <w:r>
              <w:rPr>
                <w:color w:val="4A4A4A"/>
                <w:sz w:val="21"/>
                <w:szCs w:val="21"/>
              </w:rPr>
              <w:t>LLECE</w:t>
            </w:r>
          </w:p>
        </w:tc>
        <w:tc>
          <w:tcPr>
            <w:tcW w:w="999" w:type="dxa"/>
            <w:vMerge w:val="restart"/>
            <w:tcBorders>
              <w:top w:val="single" w:sz="4" w:space="0" w:color="000000"/>
              <w:left w:val="single" w:sz="4" w:space="0" w:color="000000"/>
              <w:bottom w:val="single" w:sz="4" w:space="0" w:color="000000"/>
              <w:right w:val="single" w:sz="4" w:space="0" w:color="000000"/>
            </w:tcBorders>
            <w:vAlign w:val="center"/>
          </w:tcPr>
          <w:p w14:paraId="0000006E" w14:textId="77777777" w:rsidR="009A7089" w:rsidRDefault="00E62590">
            <w:pPr>
              <w:spacing w:after="0" w:line="240" w:lineRule="auto"/>
              <w:rPr>
                <w:color w:val="4A4A4A"/>
                <w:sz w:val="21"/>
                <w:szCs w:val="21"/>
              </w:rPr>
            </w:pPr>
            <w:r>
              <w:rPr>
                <w:color w:val="4A4A4A"/>
                <w:sz w:val="21"/>
                <w:szCs w:val="21"/>
              </w:rPr>
              <w:t>Yes</w:t>
            </w:r>
          </w:p>
        </w:tc>
        <w:tc>
          <w:tcPr>
            <w:tcW w:w="1700" w:type="dxa"/>
            <w:vMerge w:val="restart"/>
            <w:tcBorders>
              <w:top w:val="single" w:sz="4" w:space="0" w:color="000000"/>
              <w:left w:val="nil"/>
              <w:bottom w:val="single" w:sz="4" w:space="0" w:color="000000"/>
              <w:right w:val="single" w:sz="4" w:space="0" w:color="000000"/>
            </w:tcBorders>
            <w:vAlign w:val="center"/>
          </w:tcPr>
          <w:p w14:paraId="0000006F" w14:textId="77777777" w:rsidR="009A7089" w:rsidRDefault="00E62590">
            <w:pPr>
              <w:spacing w:after="0" w:line="240" w:lineRule="auto"/>
              <w:rPr>
                <w:color w:val="4A4A4A"/>
                <w:sz w:val="21"/>
                <w:szCs w:val="21"/>
              </w:rPr>
            </w:pPr>
            <w:r>
              <w:rPr>
                <w:color w:val="4A4A4A"/>
                <w:sz w:val="21"/>
                <w:szCs w:val="21"/>
              </w:rPr>
              <w:t>PAL network</w:t>
            </w:r>
          </w:p>
        </w:tc>
        <w:tc>
          <w:tcPr>
            <w:tcW w:w="3774" w:type="dxa"/>
            <w:vMerge w:val="restart"/>
            <w:tcBorders>
              <w:top w:val="nil"/>
              <w:left w:val="single" w:sz="4" w:space="0" w:color="000000"/>
              <w:bottom w:val="single" w:sz="4" w:space="0" w:color="000000"/>
              <w:right w:val="single" w:sz="4" w:space="0" w:color="000000"/>
            </w:tcBorders>
            <w:vAlign w:val="center"/>
          </w:tcPr>
          <w:p w14:paraId="00000070" w14:textId="62D6EAEA" w:rsidR="009A7089" w:rsidRDefault="00E62590">
            <w:pPr>
              <w:spacing w:after="0" w:line="240" w:lineRule="auto"/>
              <w:rPr>
                <w:color w:val="4A4A4A"/>
                <w:sz w:val="21"/>
                <w:szCs w:val="21"/>
              </w:rPr>
            </w:pPr>
            <w:proofErr w:type="gramStart"/>
            <w:r>
              <w:rPr>
                <w:color w:val="4A4A4A"/>
                <w:sz w:val="21"/>
                <w:szCs w:val="21"/>
              </w:rPr>
              <w:t>plus</w:t>
            </w:r>
            <w:proofErr w:type="gramEnd"/>
            <w:r>
              <w:rPr>
                <w:color w:val="4A4A4A"/>
                <w:sz w:val="21"/>
                <w:szCs w:val="21"/>
              </w:rPr>
              <w:t xml:space="preserve"> or minus one year of last year of primary according to ISCED level of the </w:t>
            </w:r>
            <w:r w:rsidR="002C094A">
              <w:rPr>
                <w:color w:val="4A4A4A"/>
                <w:sz w:val="21"/>
                <w:szCs w:val="21"/>
              </w:rPr>
              <w:t>country except for TIMSS/PIRLS grade 4, which are mapped to the end of primary when primary lasts six or less years</w:t>
            </w:r>
            <w:r w:rsidR="00224D90">
              <w:rPr>
                <w:color w:val="4A4A4A"/>
                <w:sz w:val="21"/>
                <w:szCs w:val="21"/>
              </w:rPr>
              <w:t>.</w:t>
            </w:r>
            <w:r w:rsidR="002C094A">
              <w:rPr>
                <w:color w:val="4A4A4A"/>
                <w:sz w:val="21"/>
                <w:szCs w:val="21"/>
              </w:rPr>
              <w:t xml:space="preserve"> </w:t>
            </w:r>
          </w:p>
        </w:tc>
      </w:tr>
      <w:tr w:rsidR="009A7089" w14:paraId="38F67044" w14:textId="77777777" w:rsidTr="00110E5E">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71"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72" w14:textId="77777777" w:rsidR="009A7089" w:rsidRDefault="00E62590">
            <w:pPr>
              <w:spacing w:after="0" w:line="240" w:lineRule="auto"/>
              <w:rPr>
                <w:color w:val="4A4A4A"/>
                <w:sz w:val="21"/>
                <w:szCs w:val="21"/>
              </w:rPr>
            </w:pPr>
            <w:r>
              <w:rPr>
                <w:color w:val="4A4A4A"/>
                <w:sz w:val="21"/>
                <w:szCs w:val="21"/>
              </w:rPr>
              <w:t>PASEC</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73"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74"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75"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613DA7F5" w14:textId="77777777" w:rsidTr="00110E5E">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76"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77" w14:textId="77777777" w:rsidR="009A7089" w:rsidRDefault="00E62590">
            <w:pPr>
              <w:spacing w:after="0" w:line="240" w:lineRule="auto"/>
              <w:rPr>
                <w:color w:val="4A4A4A"/>
                <w:sz w:val="21"/>
                <w:szCs w:val="21"/>
              </w:rPr>
            </w:pPr>
            <w:r>
              <w:rPr>
                <w:color w:val="4A4A4A"/>
                <w:sz w:val="21"/>
                <w:szCs w:val="21"/>
              </w:rPr>
              <w:t xml:space="preserve">TIMSS </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78"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79"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7A"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1561583E" w14:textId="77777777" w:rsidTr="00110E5E">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7B"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7C" w14:textId="77777777" w:rsidR="009A7089" w:rsidRDefault="00E62590">
            <w:pPr>
              <w:spacing w:after="0" w:line="240" w:lineRule="auto"/>
              <w:rPr>
                <w:color w:val="4A4A4A"/>
                <w:sz w:val="21"/>
                <w:szCs w:val="21"/>
              </w:rPr>
            </w:pPr>
            <w:r>
              <w:rPr>
                <w:color w:val="4A4A4A"/>
                <w:sz w:val="21"/>
                <w:szCs w:val="21"/>
              </w:rPr>
              <w:t xml:space="preserve">PIRLS </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7D"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7E"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7F"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52830E20" w14:textId="77777777" w:rsidTr="00110E5E">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80"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81" w14:textId="77777777" w:rsidR="009A7089" w:rsidRDefault="00E62590">
            <w:pPr>
              <w:spacing w:after="0" w:line="240" w:lineRule="auto"/>
              <w:rPr>
                <w:color w:val="4A4A4A"/>
                <w:sz w:val="21"/>
                <w:szCs w:val="21"/>
              </w:rPr>
            </w:pPr>
            <w:r>
              <w:rPr>
                <w:color w:val="4A4A4A"/>
                <w:sz w:val="21"/>
                <w:szCs w:val="21"/>
              </w:rPr>
              <w:t>PILNA</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82"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83"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84"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08C1C608" w14:textId="77777777" w:rsidTr="00110E5E">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85"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86" w14:textId="77777777" w:rsidR="009A7089" w:rsidRDefault="00E62590">
            <w:pPr>
              <w:spacing w:after="0" w:line="240" w:lineRule="auto"/>
              <w:rPr>
                <w:color w:val="4A4A4A"/>
                <w:sz w:val="21"/>
                <w:szCs w:val="21"/>
              </w:rPr>
            </w:pPr>
            <w:r>
              <w:rPr>
                <w:color w:val="4A4A4A"/>
                <w:sz w:val="21"/>
                <w:szCs w:val="21"/>
              </w:rPr>
              <w:t>SEAMEO</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87"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88"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89"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0CD6E3AC" w14:textId="77777777" w:rsidTr="00110E5E">
        <w:trPr>
          <w:trHeight w:val="125"/>
          <w:jc w:val="center"/>
        </w:trPr>
        <w:tc>
          <w:tcPr>
            <w:tcW w:w="1167" w:type="dxa"/>
            <w:vMerge/>
            <w:tcBorders>
              <w:top w:val="nil"/>
              <w:left w:val="single" w:sz="4" w:space="0" w:color="000000"/>
              <w:bottom w:val="single" w:sz="4" w:space="0" w:color="000000"/>
              <w:right w:val="single" w:sz="4" w:space="0" w:color="000000"/>
            </w:tcBorders>
            <w:vAlign w:val="center"/>
          </w:tcPr>
          <w:p w14:paraId="0000008A"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8B" w14:textId="77777777" w:rsidR="009A7089" w:rsidRDefault="00E62590">
            <w:pPr>
              <w:spacing w:after="0" w:line="240" w:lineRule="auto"/>
              <w:rPr>
                <w:color w:val="4A4A4A"/>
                <w:sz w:val="21"/>
                <w:szCs w:val="21"/>
              </w:rPr>
            </w:pPr>
            <w:r>
              <w:rPr>
                <w:color w:val="4A4A4A"/>
                <w:sz w:val="21"/>
                <w:szCs w:val="21"/>
              </w:rPr>
              <w:t>SACMEQ</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8C"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8D"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8E" w14:textId="77777777" w:rsidR="009A7089" w:rsidRDefault="009A7089">
            <w:pPr>
              <w:widowControl w:val="0"/>
              <w:pBdr>
                <w:top w:val="nil"/>
                <w:left w:val="nil"/>
                <w:bottom w:val="nil"/>
                <w:right w:val="nil"/>
                <w:between w:val="nil"/>
              </w:pBdr>
              <w:spacing w:after="0"/>
              <w:rPr>
                <w:color w:val="4A4A4A"/>
                <w:sz w:val="21"/>
                <w:szCs w:val="21"/>
              </w:rPr>
            </w:pPr>
          </w:p>
        </w:tc>
      </w:tr>
      <w:tr w:rsidR="00744934" w14:paraId="2AE8EAE4" w14:textId="77777777">
        <w:trPr>
          <w:trHeight w:val="300"/>
          <w:jc w:val="center"/>
        </w:trPr>
        <w:tc>
          <w:tcPr>
            <w:tcW w:w="1167" w:type="dxa"/>
            <w:vMerge w:val="restart"/>
            <w:tcBorders>
              <w:top w:val="nil"/>
              <w:left w:val="single" w:sz="4" w:space="0" w:color="000000"/>
              <w:bottom w:val="single" w:sz="4" w:space="0" w:color="000000"/>
              <w:right w:val="single" w:sz="4" w:space="0" w:color="000000"/>
            </w:tcBorders>
            <w:vAlign w:val="center"/>
          </w:tcPr>
          <w:p w14:paraId="0000008F" w14:textId="77777777" w:rsidR="009A7089" w:rsidRDefault="00E62590">
            <w:pPr>
              <w:spacing w:after="0" w:line="240" w:lineRule="auto"/>
              <w:rPr>
                <w:b/>
                <w:color w:val="4A4A4A"/>
                <w:sz w:val="21"/>
                <w:szCs w:val="21"/>
              </w:rPr>
            </w:pPr>
            <w:r>
              <w:rPr>
                <w:b/>
                <w:color w:val="4A4A4A"/>
                <w:sz w:val="21"/>
                <w:szCs w:val="21"/>
              </w:rPr>
              <w:t>End of lower secondary</w:t>
            </w:r>
          </w:p>
        </w:tc>
        <w:tc>
          <w:tcPr>
            <w:tcW w:w="1376" w:type="dxa"/>
            <w:tcBorders>
              <w:top w:val="single" w:sz="4" w:space="0" w:color="000000"/>
              <w:left w:val="nil"/>
              <w:bottom w:val="single" w:sz="4" w:space="0" w:color="000000"/>
              <w:right w:val="single" w:sz="4" w:space="0" w:color="000000"/>
            </w:tcBorders>
            <w:vAlign w:val="center"/>
          </w:tcPr>
          <w:p w14:paraId="00000090" w14:textId="77777777" w:rsidR="009A7089" w:rsidRDefault="00E62590">
            <w:pPr>
              <w:spacing w:after="0" w:line="240" w:lineRule="auto"/>
              <w:rPr>
                <w:color w:val="4A4A4A"/>
                <w:sz w:val="21"/>
                <w:szCs w:val="21"/>
              </w:rPr>
            </w:pPr>
            <w:r>
              <w:rPr>
                <w:color w:val="4A4A4A"/>
                <w:sz w:val="21"/>
                <w:szCs w:val="21"/>
              </w:rPr>
              <w:t>PISA</w:t>
            </w:r>
          </w:p>
        </w:tc>
        <w:tc>
          <w:tcPr>
            <w:tcW w:w="999" w:type="dxa"/>
            <w:vMerge w:val="restart"/>
            <w:tcBorders>
              <w:top w:val="single" w:sz="4" w:space="0" w:color="000000"/>
              <w:left w:val="single" w:sz="4" w:space="0" w:color="000000"/>
              <w:bottom w:val="single" w:sz="4" w:space="0" w:color="000000"/>
              <w:right w:val="single" w:sz="4" w:space="0" w:color="000000"/>
            </w:tcBorders>
            <w:vAlign w:val="center"/>
          </w:tcPr>
          <w:p w14:paraId="00000091" w14:textId="77777777" w:rsidR="009A7089" w:rsidRDefault="00E62590">
            <w:pPr>
              <w:spacing w:after="0" w:line="240" w:lineRule="auto"/>
              <w:rPr>
                <w:color w:val="4A4A4A"/>
                <w:sz w:val="21"/>
                <w:szCs w:val="21"/>
              </w:rPr>
            </w:pPr>
            <w:r>
              <w:rPr>
                <w:color w:val="4A4A4A"/>
                <w:sz w:val="21"/>
                <w:szCs w:val="21"/>
              </w:rPr>
              <w:t>Yes</w:t>
            </w:r>
          </w:p>
        </w:tc>
        <w:tc>
          <w:tcPr>
            <w:tcW w:w="1700" w:type="dxa"/>
            <w:vMerge w:val="restart"/>
            <w:tcBorders>
              <w:top w:val="single" w:sz="4" w:space="0" w:color="000000"/>
              <w:left w:val="nil"/>
              <w:bottom w:val="single" w:sz="4" w:space="0" w:color="000000"/>
              <w:right w:val="single" w:sz="4" w:space="0" w:color="000000"/>
            </w:tcBorders>
            <w:vAlign w:val="center"/>
          </w:tcPr>
          <w:p w14:paraId="00000092" w14:textId="77777777" w:rsidR="009A7089" w:rsidRDefault="00247C72">
            <w:pPr>
              <w:spacing w:after="0" w:line="240" w:lineRule="auto"/>
              <w:rPr>
                <w:color w:val="000000"/>
                <w:sz w:val="21"/>
                <w:szCs w:val="21"/>
              </w:rPr>
            </w:pPr>
            <w:hyperlink r:id="rId14">
              <w:r w:rsidR="00E62590">
                <w:rPr>
                  <w:color w:val="0000FF"/>
                  <w:sz w:val="21"/>
                  <w:szCs w:val="21"/>
                  <w:u w:val="single"/>
                </w:rPr>
                <w:t>Young Lives</w:t>
              </w:r>
            </w:hyperlink>
          </w:p>
        </w:tc>
        <w:tc>
          <w:tcPr>
            <w:tcW w:w="3774" w:type="dxa"/>
            <w:vMerge w:val="restart"/>
            <w:tcBorders>
              <w:top w:val="nil"/>
              <w:left w:val="single" w:sz="4" w:space="0" w:color="000000"/>
              <w:bottom w:val="single" w:sz="4" w:space="0" w:color="000000"/>
              <w:right w:val="single" w:sz="4" w:space="0" w:color="000000"/>
            </w:tcBorders>
            <w:vAlign w:val="center"/>
          </w:tcPr>
          <w:p w14:paraId="00000093" w14:textId="292A33A7" w:rsidR="009A7089" w:rsidRDefault="00E62590">
            <w:pPr>
              <w:spacing w:after="0" w:line="240" w:lineRule="auto"/>
              <w:rPr>
                <w:color w:val="4A4A4A"/>
                <w:sz w:val="21"/>
                <w:szCs w:val="21"/>
              </w:rPr>
            </w:pPr>
            <w:proofErr w:type="gramStart"/>
            <w:r>
              <w:rPr>
                <w:color w:val="4A4A4A"/>
                <w:sz w:val="21"/>
                <w:szCs w:val="21"/>
              </w:rPr>
              <w:t>plus</w:t>
            </w:r>
            <w:proofErr w:type="gramEnd"/>
            <w:r>
              <w:rPr>
                <w:color w:val="4A4A4A"/>
                <w:sz w:val="21"/>
                <w:szCs w:val="21"/>
              </w:rPr>
              <w:t xml:space="preserve"> two or minus one of last year of lower secondary according to ISCED level of the country</w:t>
            </w:r>
          </w:p>
        </w:tc>
      </w:tr>
      <w:tr w:rsidR="009A7089" w14:paraId="44880984" w14:textId="77777777" w:rsidTr="00110E5E">
        <w:trPr>
          <w:trHeight w:val="300"/>
          <w:jc w:val="center"/>
        </w:trPr>
        <w:tc>
          <w:tcPr>
            <w:tcW w:w="1167" w:type="dxa"/>
            <w:vMerge/>
            <w:tcBorders>
              <w:top w:val="nil"/>
              <w:left w:val="single" w:sz="4" w:space="0" w:color="000000"/>
              <w:bottom w:val="single" w:sz="4" w:space="0" w:color="000000"/>
              <w:right w:val="single" w:sz="4" w:space="0" w:color="000000"/>
            </w:tcBorders>
            <w:vAlign w:val="center"/>
          </w:tcPr>
          <w:p w14:paraId="00000094"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95" w14:textId="77777777" w:rsidR="009A7089" w:rsidRDefault="00E62590">
            <w:pPr>
              <w:spacing w:after="0" w:line="240" w:lineRule="auto"/>
              <w:rPr>
                <w:color w:val="4A4A4A"/>
                <w:sz w:val="21"/>
                <w:szCs w:val="21"/>
              </w:rPr>
            </w:pPr>
            <w:r>
              <w:rPr>
                <w:color w:val="4A4A4A"/>
                <w:sz w:val="21"/>
                <w:szCs w:val="21"/>
              </w:rPr>
              <w:t>PISA-D</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96"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97"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98"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31E1DAE1" w14:textId="77777777" w:rsidTr="00110E5E">
        <w:trPr>
          <w:trHeight w:val="365"/>
          <w:jc w:val="center"/>
        </w:trPr>
        <w:tc>
          <w:tcPr>
            <w:tcW w:w="1167" w:type="dxa"/>
            <w:vMerge/>
            <w:tcBorders>
              <w:top w:val="nil"/>
              <w:left w:val="single" w:sz="4" w:space="0" w:color="000000"/>
              <w:bottom w:val="single" w:sz="4" w:space="0" w:color="000000"/>
              <w:right w:val="single" w:sz="4" w:space="0" w:color="000000"/>
            </w:tcBorders>
            <w:vAlign w:val="center"/>
          </w:tcPr>
          <w:p w14:paraId="00000099" w14:textId="77777777" w:rsidR="009A7089" w:rsidRDefault="009A7089">
            <w:pPr>
              <w:widowControl w:val="0"/>
              <w:pBdr>
                <w:top w:val="nil"/>
                <w:left w:val="nil"/>
                <w:bottom w:val="nil"/>
                <w:right w:val="nil"/>
                <w:between w:val="nil"/>
              </w:pBdr>
              <w:spacing w:after="0"/>
              <w:rPr>
                <w:color w:val="4A4A4A"/>
                <w:sz w:val="21"/>
                <w:szCs w:val="21"/>
              </w:rPr>
            </w:pPr>
          </w:p>
        </w:tc>
        <w:tc>
          <w:tcPr>
            <w:tcW w:w="1376" w:type="dxa"/>
            <w:tcBorders>
              <w:top w:val="nil"/>
              <w:left w:val="nil"/>
              <w:bottom w:val="single" w:sz="4" w:space="0" w:color="000000"/>
              <w:right w:val="single" w:sz="4" w:space="0" w:color="000000"/>
            </w:tcBorders>
            <w:vAlign w:val="center"/>
          </w:tcPr>
          <w:p w14:paraId="0000009A" w14:textId="77777777" w:rsidR="009A7089" w:rsidRDefault="00E62590">
            <w:pPr>
              <w:spacing w:after="0" w:line="240" w:lineRule="auto"/>
              <w:rPr>
                <w:color w:val="4A4A4A"/>
                <w:sz w:val="21"/>
                <w:szCs w:val="21"/>
              </w:rPr>
            </w:pPr>
            <w:r>
              <w:rPr>
                <w:color w:val="4A4A4A"/>
                <w:sz w:val="21"/>
                <w:szCs w:val="21"/>
              </w:rPr>
              <w:t xml:space="preserve">TIMSS </w:t>
            </w:r>
          </w:p>
        </w:tc>
        <w:tc>
          <w:tcPr>
            <w:tcW w:w="999" w:type="dxa"/>
            <w:vMerge/>
            <w:tcBorders>
              <w:top w:val="single" w:sz="4" w:space="0" w:color="000000"/>
              <w:left w:val="single" w:sz="4" w:space="0" w:color="000000"/>
              <w:bottom w:val="single" w:sz="4" w:space="0" w:color="000000"/>
              <w:right w:val="single" w:sz="4" w:space="0" w:color="000000"/>
            </w:tcBorders>
            <w:vAlign w:val="center"/>
          </w:tcPr>
          <w:p w14:paraId="0000009B" w14:textId="77777777" w:rsidR="009A7089" w:rsidRDefault="009A7089">
            <w:pPr>
              <w:widowControl w:val="0"/>
              <w:pBdr>
                <w:top w:val="nil"/>
                <w:left w:val="nil"/>
                <w:bottom w:val="nil"/>
                <w:right w:val="nil"/>
                <w:between w:val="nil"/>
              </w:pBdr>
              <w:spacing w:after="0"/>
              <w:rPr>
                <w:color w:val="4A4A4A"/>
                <w:sz w:val="21"/>
                <w:szCs w:val="21"/>
              </w:rPr>
            </w:pPr>
          </w:p>
        </w:tc>
        <w:tc>
          <w:tcPr>
            <w:tcW w:w="1700" w:type="dxa"/>
            <w:vMerge/>
            <w:tcBorders>
              <w:top w:val="single" w:sz="4" w:space="0" w:color="000000"/>
              <w:left w:val="nil"/>
              <w:bottom w:val="single" w:sz="4" w:space="0" w:color="000000"/>
              <w:right w:val="single" w:sz="4" w:space="0" w:color="000000"/>
            </w:tcBorders>
            <w:vAlign w:val="center"/>
          </w:tcPr>
          <w:p w14:paraId="0000009C" w14:textId="77777777" w:rsidR="009A7089" w:rsidRDefault="009A7089">
            <w:pPr>
              <w:widowControl w:val="0"/>
              <w:pBdr>
                <w:top w:val="nil"/>
                <w:left w:val="nil"/>
                <w:bottom w:val="nil"/>
                <w:right w:val="nil"/>
                <w:between w:val="nil"/>
              </w:pBdr>
              <w:spacing w:after="0"/>
              <w:rPr>
                <w:color w:val="4A4A4A"/>
                <w:sz w:val="21"/>
                <w:szCs w:val="21"/>
              </w:rPr>
            </w:pPr>
          </w:p>
        </w:tc>
        <w:tc>
          <w:tcPr>
            <w:tcW w:w="3774" w:type="dxa"/>
            <w:vMerge/>
            <w:tcBorders>
              <w:top w:val="nil"/>
              <w:left w:val="single" w:sz="4" w:space="0" w:color="000000"/>
              <w:bottom w:val="single" w:sz="4" w:space="0" w:color="000000"/>
              <w:right w:val="single" w:sz="4" w:space="0" w:color="000000"/>
            </w:tcBorders>
            <w:vAlign w:val="center"/>
          </w:tcPr>
          <w:p w14:paraId="0000009D" w14:textId="77777777" w:rsidR="009A7089" w:rsidRDefault="009A7089">
            <w:pPr>
              <w:widowControl w:val="0"/>
              <w:pBdr>
                <w:top w:val="nil"/>
                <w:left w:val="nil"/>
                <w:bottom w:val="nil"/>
                <w:right w:val="nil"/>
                <w:between w:val="nil"/>
              </w:pBdr>
              <w:spacing w:after="0"/>
              <w:rPr>
                <w:color w:val="4A4A4A"/>
                <w:sz w:val="21"/>
                <w:szCs w:val="21"/>
              </w:rPr>
            </w:pPr>
          </w:p>
        </w:tc>
      </w:tr>
      <w:tr w:rsidR="009A7089" w14:paraId="4096BFFB" w14:textId="77777777" w:rsidTr="0053304A">
        <w:trPr>
          <w:trHeight w:val="773"/>
          <w:jc w:val="center"/>
        </w:trPr>
        <w:tc>
          <w:tcPr>
            <w:tcW w:w="2543" w:type="dxa"/>
            <w:gridSpan w:val="2"/>
            <w:tcBorders>
              <w:top w:val="nil"/>
              <w:left w:val="single" w:sz="4" w:space="0" w:color="000000"/>
              <w:bottom w:val="single" w:sz="4" w:space="0" w:color="000000"/>
              <w:right w:val="single" w:sz="4" w:space="0" w:color="000000"/>
            </w:tcBorders>
            <w:vAlign w:val="center"/>
          </w:tcPr>
          <w:p w14:paraId="0000009E" w14:textId="77777777" w:rsidR="009A7089" w:rsidRDefault="00E62590">
            <w:pPr>
              <w:spacing w:after="0" w:line="240" w:lineRule="auto"/>
              <w:rPr>
                <w:b/>
                <w:color w:val="4A4A4A"/>
                <w:sz w:val="21"/>
                <w:szCs w:val="21"/>
              </w:rPr>
            </w:pPr>
            <w:r>
              <w:rPr>
                <w:b/>
                <w:color w:val="4A4A4A"/>
                <w:sz w:val="21"/>
                <w:szCs w:val="21"/>
              </w:rPr>
              <w:t>Definition of minimum level until 2018 release</w:t>
            </w:r>
          </w:p>
        </w:tc>
        <w:tc>
          <w:tcPr>
            <w:tcW w:w="6473" w:type="dxa"/>
            <w:gridSpan w:val="3"/>
            <w:tcBorders>
              <w:top w:val="single" w:sz="4" w:space="0" w:color="000000"/>
              <w:left w:val="nil"/>
              <w:bottom w:val="single" w:sz="4" w:space="0" w:color="000000"/>
              <w:right w:val="single" w:sz="4" w:space="0" w:color="000000"/>
            </w:tcBorders>
            <w:vAlign w:val="center"/>
          </w:tcPr>
          <w:p w14:paraId="000000A0" w14:textId="0BE88410" w:rsidR="009A7089" w:rsidRDefault="00E62590">
            <w:pPr>
              <w:spacing w:after="0" w:line="240" w:lineRule="auto"/>
              <w:rPr>
                <w:color w:val="000000"/>
                <w:sz w:val="21"/>
                <w:szCs w:val="21"/>
              </w:rPr>
            </w:pPr>
            <w:r>
              <w:rPr>
                <w:color w:val="4A4A4A"/>
                <w:sz w:val="21"/>
                <w:szCs w:val="21"/>
              </w:rPr>
              <w:t>Those defined by each assessment by point of measurement and domain</w:t>
            </w:r>
            <w:r w:rsidR="00A966DA">
              <w:rPr>
                <w:color w:val="4A4A4A"/>
                <w:sz w:val="21"/>
                <w:szCs w:val="21"/>
              </w:rPr>
              <w:t>.</w:t>
            </w:r>
          </w:p>
        </w:tc>
      </w:tr>
      <w:tr w:rsidR="009A7089" w14:paraId="724FDCA4" w14:textId="77777777" w:rsidTr="0053304A">
        <w:trPr>
          <w:trHeight w:val="701"/>
          <w:jc w:val="center"/>
        </w:trPr>
        <w:tc>
          <w:tcPr>
            <w:tcW w:w="2543" w:type="dxa"/>
            <w:gridSpan w:val="2"/>
            <w:tcBorders>
              <w:top w:val="nil"/>
              <w:left w:val="single" w:sz="4" w:space="0" w:color="000000"/>
              <w:bottom w:val="single" w:sz="4" w:space="0" w:color="000000"/>
              <w:right w:val="single" w:sz="4" w:space="0" w:color="000000"/>
            </w:tcBorders>
            <w:vAlign w:val="center"/>
          </w:tcPr>
          <w:p w14:paraId="000000A3" w14:textId="77777777" w:rsidR="009A7089" w:rsidRDefault="00E62590">
            <w:pPr>
              <w:spacing w:after="0" w:line="240" w:lineRule="auto"/>
              <w:rPr>
                <w:b/>
                <w:color w:val="4A4A4A"/>
                <w:sz w:val="21"/>
                <w:szCs w:val="21"/>
              </w:rPr>
            </w:pPr>
            <w:r>
              <w:rPr>
                <w:b/>
                <w:color w:val="4A4A4A"/>
                <w:sz w:val="21"/>
                <w:szCs w:val="21"/>
              </w:rPr>
              <w:t xml:space="preserve">Definition of minimum level from 2019 </w:t>
            </w:r>
          </w:p>
        </w:tc>
        <w:tc>
          <w:tcPr>
            <w:tcW w:w="6473" w:type="dxa"/>
            <w:gridSpan w:val="3"/>
            <w:tcBorders>
              <w:top w:val="single" w:sz="4" w:space="0" w:color="000000"/>
              <w:left w:val="nil"/>
              <w:bottom w:val="single" w:sz="4" w:space="0" w:color="000000"/>
              <w:right w:val="single" w:sz="4" w:space="0" w:color="000000"/>
            </w:tcBorders>
            <w:vAlign w:val="center"/>
          </w:tcPr>
          <w:p w14:paraId="000000A5" w14:textId="601F3B13" w:rsidR="009A7089" w:rsidRDefault="00E62590">
            <w:pPr>
              <w:spacing w:after="0" w:line="240" w:lineRule="auto"/>
              <w:rPr>
                <w:color w:val="000000"/>
                <w:sz w:val="21"/>
                <w:szCs w:val="21"/>
              </w:rPr>
            </w:pPr>
            <w:r>
              <w:rPr>
                <w:color w:val="4A4A4A"/>
                <w:sz w:val="21"/>
                <w:szCs w:val="21"/>
              </w:rPr>
              <w:t>According to alignment as adopted by Global Alliance to Monitoring Learning (</w:t>
            </w:r>
            <w:hyperlink r:id="rId15">
              <w:r>
                <w:rPr>
                  <w:color w:val="0000FF"/>
                  <w:sz w:val="21"/>
                  <w:szCs w:val="21"/>
                  <w:u w:val="single"/>
                </w:rPr>
                <w:t>GAML</w:t>
              </w:r>
            </w:hyperlink>
            <w:r>
              <w:rPr>
                <w:color w:val="4A4A4A"/>
                <w:sz w:val="21"/>
                <w:szCs w:val="21"/>
              </w:rPr>
              <w:t>) and Technical Cooperation Group (</w:t>
            </w:r>
            <w:hyperlink r:id="rId16">
              <w:r>
                <w:rPr>
                  <w:color w:val="0000FF"/>
                  <w:sz w:val="21"/>
                  <w:szCs w:val="21"/>
                  <w:u w:val="single"/>
                </w:rPr>
                <w:t>TCG</w:t>
              </w:r>
            </w:hyperlink>
            <w:r>
              <w:rPr>
                <w:color w:val="4A4A4A"/>
                <w:sz w:val="21"/>
                <w:szCs w:val="21"/>
              </w:rPr>
              <w:t>)</w:t>
            </w:r>
          </w:p>
        </w:tc>
      </w:tr>
      <w:tr w:rsidR="009A7089" w14:paraId="7CD08552" w14:textId="77777777" w:rsidTr="0053304A">
        <w:trPr>
          <w:trHeight w:val="800"/>
          <w:jc w:val="center"/>
        </w:trPr>
        <w:tc>
          <w:tcPr>
            <w:tcW w:w="2543" w:type="dxa"/>
            <w:gridSpan w:val="2"/>
            <w:tcBorders>
              <w:top w:val="nil"/>
              <w:left w:val="single" w:sz="4" w:space="0" w:color="000000"/>
              <w:bottom w:val="single" w:sz="4" w:space="0" w:color="000000"/>
              <w:right w:val="single" w:sz="4" w:space="0" w:color="000000"/>
            </w:tcBorders>
            <w:vAlign w:val="center"/>
          </w:tcPr>
          <w:p w14:paraId="000000A8" w14:textId="77777777" w:rsidR="009A7089" w:rsidRDefault="00E62590">
            <w:pPr>
              <w:spacing w:after="0" w:line="240" w:lineRule="auto"/>
              <w:rPr>
                <w:b/>
                <w:color w:val="4A4A4A"/>
                <w:sz w:val="21"/>
                <w:szCs w:val="21"/>
              </w:rPr>
            </w:pPr>
            <w:r>
              <w:rPr>
                <w:b/>
                <w:color w:val="4A4A4A"/>
                <w:sz w:val="21"/>
                <w:szCs w:val="21"/>
              </w:rPr>
              <w:t>Grade for end of primary and end of lower secondary</w:t>
            </w:r>
          </w:p>
        </w:tc>
        <w:tc>
          <w:tcPr>
            <w:tcW w:w="6473" w:type="dxa"/>
            <w:gridSpan w:val="3"/>
            <w:tcBorders>
              <w:top w:val="single" w:sz="4" w:space="0" w:color="000000"/>
              <w:left w:val="nil"/>
              <w:bottom w:val="single" w:sz="4" w:space="0" w:color="000000"/>
              <w:right w:val="single" w:sz="4" w:space="0" w:color="000000"/>
            </w:tcBorders>
            <w:vAlign w:val="center"/>
          </w:tcPr>
          <w:p w14:paraId="000000AA" w14:textId="77777777" w:rsidR="009A7089" w:rsidRDefault="00E62590">
            <w:pPr>
              <w:spacing w:after="0" w:line="240" w:lineRule="auto"/>
              <w:rPr>
                <w:color w:val="4A4A4A"/>
                <w:sz w:val="21"/>
                <w:szCs w:val="21"/>
              </w:rPr>
            </w:pPr>
            <w:r>
              <w:rPr>
                <w:color w:val="4A4A4A"/>
                <w:sz w:val="21"/>
                <w:szCs w:val="21"/>
              </w:rPr>
              <w:t>As defined by the ISCED levels in each country</w:t>
            </w:r>
          </w:p>
        </w:tc>
      </w:tr>
      <w:tr w:rsidR="009A7089" w14:paraId="6697A3D5" w14:textId="77777777" w:rsidTr="00110E5E">
        <w:trPr>
          <w:trHeight w:val="300"/>
          <w:jc w:val="center"/>
        </w:trPr>
        <w:tc>
          <w:tcPr>
            <w:tcW w:w="2543" w:type="dxa"/>
            <w:gridSpan w:val="2"/>
            <w:tcBorders>
              <w:top w:val="nil"/>
              <w:left w:val="single" w:sz="4" w:space="0" w:color="000000"/>
              <w:bottom w:val="single" w:sz="4" w:space="0" w:color="000000"/>
              <w:right w:val="single" w:sz="4" w:space="0" w:color="000000"/>
            </w:tcBorders>
            <w:vAlign w:val="center"/>
          </w:tcPr>
          <w:p w14:paraId="000000AD" w14:textId="77777777" w:rsidR="009A7089" w:rsidRDefault="00E62590">
            <w:pPr>
              <w:spacing w:after="0" w:line="240" w:lineRule="auto"/>
              <w:rPr>
                <w:b/>
                <w:color w:val="4A4A4A"/>
                <w:sz w:val="21"/>
                <w:szCs w:val="21"/>
              </w:rPr>
            </w:pPr>
            <w:r>
              <w:rPr>
                <w:b/>
                <w:color w:val="4A4A4A"/>
                <w:sz w:val="21"/>
                <w:szCs w:val="21"/>
              </w:rPr>
              <w:t xml:space="preserve">Validation </w:t>
            </w:r>
          </w:p>
        </w:tc>
        <w:tc>
          <w:tcPr>
            <w:tcW w:w="6473" w:type="dxa"/>
            <w:gridSpan w:val="3"/>
            <w:tcBorders>
              <w:top w:val="single" w:sz="4" w:space="0" w:color="000000"/>
              <w:left w:val="nil"/>
              <w:bottom w:val="single" w:sz="4" w:space="0" w:color="000000"/>
              <w:right w:val="single" w:sz="4" w:space="0" w:color="000000"/>
            </w:tcBorders>
            <w:vAlign w:val="center"/>
          </w:tcPr>
          <w:p w14:paraId="000000AF" w14:textId="77777777" w:rsidR="009A7089" w:rsidRDefault="00E62590">
            <w:pPr>
              <w:spacing w:after="0" w:line="240" w:lineRule="auto"/>
              <w:rPr>
                <w:color w:val="4A4A4A"/>
                <w:sz w:val="21"/>
                <w:szCs w:val="21"/>
              </w:rPr>
            </w:pPr>
            <w:r>
              <w:rPr>
                <w:color w:val="4A4A4A"/>
                <w:sz w:val="21"/>
                <w:szCs w:val="21"/>
              </w:rPr>
              <w:t>Sent from UIS for countries’ approval</w:t>
            </w:r>
          </w:p>
        </w:tc>
      </w:tr>
    </w:tbl>
    <w:p w14:paraId="000000B4" w14:textId="2768E719" w:rsidR="009A7089" w:rsidRDefault="009A7089">
      <w:pPr>
        <w:pBdr>
          <w:top w:val="nil"/>
          <w:left w:val="nil"/>
          <w:bottom w:val="nil"/>
          <w:right w:val="nil"/>
          <w:between w:val="nil"/>
        </w:pBdr>
        <w:shd w:val="clear" w:color="auto" w:fill="FFFFFF"/>
        <w:spacing w:after="0"/>
        <w:rPr>
          <w:color w:val="4A4A4A"/>
          <w:sz w:val="21"/>
          <w:szCs w:val="21"/>
        </w:rPr>
      </w:pPr>
    </w:p>
    <w:p w14:paraId="000000B5"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3.b. Data collection method </w:t>
      </w:r>
      <w:r>
        <w:rPr>
          <w:color w:val="B4B4B4"/>
          <w:sz w:val="20"/>
        </w:rPr>
        <w:t>(COLL_METHOD)</w:t>
      </w:r>
    </w:p>
    <w:p w14:paraId="000000B7" w14:textId="766FE250" w:rsidR="009A7089" w:rsidRDefault="00224D90">
      <w:pPr>
        <w:pBdr>
          <w:top w:val="nil"/>
          <w:left w:val="nil"/>
          <w:bottom w:val="nil"/>
          <w:right w:val="nil"/>
          <w:between w:val="nil"/>
        </w:pBdr>
        <w:shd w:val="clear" w:color="auto" w:fill="FFFFFF"/>
        <w:spacing w:after="0"/>
        <w:rPr>
          <w:color w:val="4A4A4A"/>
          <w:sz w:val="21"/>
          <w:szCs w:val="21"/>
        </w:rPr>
      </w:pPr>
      <w:r>
        <w:rPr>
          <w:color w:val="4A4A4A"/>
          <w:sz w:val="21"/>
          <w:szCs w:val="21"/>
        </w:rPr>
        <w:lastRenderedPageBreak/>
        <w:t>The UIS compiles information from data source providers at international level and from countries at the national level.</w:t>
      </w:r>
    </w:p>
    <w:p w14:paraId="3D4A05E2" w14:textId="77777777" w:rsidR="00053A4C" w:rsidRDefault="00053A4C">
      <w:pPr>
        <w:pBdr>
          <w:top w:val="nil"/>
          <w:left w:val="nil"/>
          <w:bottom w:val="nil"/>
          <w:right w:val="nil"/>
          <w:between w:val="nil"/>
        </w:pBdr>
        <w:shd w:val="clear" w:color="auto" w:fill="FFFFFF"/>
        <w:spacing w:after="0"/>
        <w:rPr>
          <w:color w:val="4A4A4A"/>
          <w:sz w:val="21"/>
          <w:szCs w:val="21"/>
        </w:rPr>
      </w:pPr>
    </w:p>
    <w:p w14:paraId="000000B8"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3.c. Data collection calendar </w:t>
      </w:r>
      <w:r>
        <w:rPr>
          <w:color w:val="B4B4B4"/>
          <w:sz w:val="20"/>
        </w:rPr>
        <w:t>(FREQ_COLL)</w:t>
      </w:r>
    </w:p>
    <w:p w14:paraId="000000B9" w14:textId="09338C38"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Data collection</w:t>
      </w:r>
      <w:r w:rsidR="00224D90">
        <w:rPr>
          <w:color w:val="4A4A4A"/>
          <w:sz w:val="21"/>
          <w:szCs w:val="21"/>
        </w:rPr>
        <w:t xml:space="preserve"> is rolling during the year.</w:t>
      </w:r>
      <w:r>
        <w:rPr>
          <w:color w:val="4A4A4A"/>
          <w:sz w:val="21"/>
          <w:szCs w:val="21"/>
        </w:rPr>
        <w:t xml:space="preserve">  </w:t>
      </w:r>
    </w:p>
    <w:p w14:paraId="000000BA"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BB"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3.d. Data release calendar </w:t>
      </w:r>
      <w:r>
        <w:rPr>
          <w:color w:val="B4B4B4"/>
          <w:sz w:val="20"/>
        </w:rPr>
        <w:t>(REL_CAL_POLICY)</w:t>
      </w:r>
    </w:p>
    <w:p w14:paraId="000000BD" w14:textId="45572E0E" w:rsidR="009A7089" w:rsidRDefault="002C4D87">
      <w:pPr>
        <w:pBdr>
          <w:top w:val="nil"/>
          <w:left w:val="nil"/>
          <w:bottom w:val="nil"/>
          <w:right w:val="nil"/>
          <w:between w:val="nil"/>
        </w:pBdr>
        <w:shd w:val="clear" w:color="auto" w:fill="FFFFFF"/>
        <w:spacing w:after="0"/>
        <w:rPr>
          <w:color w:val="4A4A4A"/>
          <w:sz w:val="21"/>
          <w:szCs w:val="21"/>
        </w:rPr>
      </w:pPr>
      <w:r>
        <w:rPr>
          <w:color w:val="4A4A4A"/>
          <w:sz w:val="21"/>
          <w:szCs w:val="21"/>
        </w:rPr>
        <w:t>B</w:t>
      </w:r>
      <w:r w:rsidRPr="0053304A">
        <w:rPr>
          <w:color w:val="4A4A4A"/>
          <w:sz w:val="21"/>
          <w:szCs w:val="21"/>
        </w:rPr>
        <w:t>iannual UIS data release (</w:t>
      </w:r>
      <w:r>
        <w:rPr>
          <w:color w:val="4A4A4A"/>
          <w:sz w:val="21"/>
          <w:szCs w:val="21"/>
        </w:rPr>
        <w:t>March and September)</w:t>
      </w:r>
    </w:p>
    <w:p w14:paraId="3C8EB8A9" w14:textId="77777777" w:rsidR="00D113E1" w:rsidRDefault="00D113E1">
      <w:pPr>
        <w:pBdr>
          <w:top w:val="nil"/>
          <w:left w:val="nil"/>
          <w:bottom w:val="nil"/>
          <w:right w:val="nil"/>
          <w:between w:val="nil"/>
        </w:pBdr>
        <w:shd w:val="clear" w:color="auto" w:fill="FFFFFF"/>
        <w:spacing w:after="0"/>
        <w:rPr>
          <w:color w:val="4A4A4A"/>
          <w:sz w:val="21"/>
          <w:szCs w:val="21"/>
        </w:rPr>
      </w:pPr>
    </w:p>
    <w:p w14:paraId="000000BE"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3.e. Data providers </w:t>
      </w:r>
      <w:r>
        <w:rPr>
          <w:color w:val="B4B4B4"/>
          <w:sz w:val="20"/>
        </w:rPr>
        <w:t>(DATA_SOURCE)</w:t>
      </w:r>
    </w:p>
    <w:p w14:paraId="000000BF" w14:textId="77777777" w:rsidR="009A7089" w:rsidRDefault="00E62590">
      <w:pPr>
        <w:shd w:val="clear" w:color="auto" w:fill="FFFFFF"/>
        <w:spacing w:after="0"/>
        <w:rPr>
          <w:b/>
          <w:color w:val="4A4A4A"/>
          <w:sz w:val="21"/>
          <w:szCs w:val="21"/>
        </w:rPr>
      </w:pPr>
      <w:r>
        <w:rPr>
          <w:b/>
          <w:color w:val="4A4A4A"/>
          <w:sz w:val="21"/>
          <w:szCs w:val="21"/>
        </w:rPr>
        <w:t>School-Based assessments</w:t>
      </w:r>
    </w:p>
    <w:p w14:paraId="000000C0" w14:textId="3DC0BA10" w:rsidR="009A7089" w:rsidRDefault="00E62590">
      <w:pPr>
        <w:numPr>
          <w:ilvl w:val="0"/>
          <w:numId w:val="1"/>
        </w:numPr>
        <w:pBdr>
          <w:top w:val="nil"/>
          <w:left w:val="nil"/>
          <w:bottom w:val="nil"/>
          <w:right w:val="nil"/>
          <w:between w:val="nil"/>
        </w:pBdr>
        <w:shd w:val="clear" w:color="auto" w:fill="FFFFFF"/>
        <w:spacing w:after="0"/>
        <w:jc w:val="both"/>
      </w:pPr>
      <w:r>
        <w:rPr>
          <w:color w:val="4A4A4A"/>
          <w:sz w:val="21"/>
          <w:szCs w:val="21"/>
          <w:u w:val="single"/>
        </w:rPr>
        <w:t>International Large</w:t>
      </w:r>
      <w:r w:rsidR="00E77A88">
        <w:rPr>
          <w:color w:val="4A4A4A"/>
          <w:sz w:val="21"/>
          <w:szCs w:val="21"/>
          <w:u w:val="single"/>
        </w:rPr>
        <w:t>-</w:t>
      </w:r>
      <w:r>
        <w:rPr>
          <w:color w:val="4A4A4A"/>
          <w:sz w:val="21"/>
          <w:szCs w:val="21"/>
          <w:u w:val="single"/>
        </w:rPr>
        <w:t>Scale Assessments</w:t>
      </w:r>
      <w:r>
        <w:rPr>
          <w:color w:val="4A4A4A"/>
          <w:sz w:val="21"/>
          <w:szCs w:val="21"/>
        </w:rPr>
        <w:t xml:space="preserve"> are reported to the UIS by cross-national organisations (LLECE, PASEC, TIMSS, and PIRLS). Typically, Cross</w:t>
      </w:r>
      <w:r w:rsidR="00E77A88">
        <w:rPr>
          <w:color w:val="4A4A4A"/>
          <w:sz w:val="21"/>
          <w:szCs w:val="21"/>
        </w:rPr>
        <w:t>-</w:t>
      </w:r>
      <w:r>
        <w:rPr>
          <w:color w:val="4A4A4A"/>
          <w:sz w:val="21"/>
          <w:szCs w:val="21"/>
        </w:rPr>
        <w:t>National Large</w:t>
      </w:r>
      <w:r w:rsidR="00E77A88">
        <w:rPr>
          <w:color w:val="4A4A4A"/>
          <w:sz w:val="21"/>
          <w:szCs w:val="21"/>
        </w:rPr>
        <w:t>-</w:t>
      </w:r>
      <w:r>
        <w:rPr>
          <w:color w:val="4A4A4A"/>
          <w:sz w:val="21"/>
          <w:szCs w:val="21"/>
        </w:rPr>
        <w:t xml:space="preserve">Scale Assessment, either regional or international, define various performance levels, and report as well the mean and standard deviation. They choose </w:t>
      </w:r>
      <w:proofErr w:type="gramStart"/>
      <w:r>
        <w:rPr>
          <w:color w:val="4A4A4A"/>
          <w:sz w:val="21"/>
          <w:szCs w:val="21"/>
        </w:rPr>
        <w:t>as well one level</w:t>
      </w:r>
      <w:proofErr w:type="gramEnd"/>
      <w:r>
        <w:rPr>
          <w:color w:val="4A4A4A"/>
          <w:sz w:val="21"/>
          <w:szCs w:val="21"/>
        </w:rPr>
        <w:t xml:space="preserve"> as the cut-off point that defines what children/youth are below or above level.</w:t>
      </w:r>
    </w:p>
    <w:p w14:paraId="000000C1" w14:textId="77777777" w:rsidR="009A7089" w:rsidRDefault="00E62590">
      <w:pPr>
        <w:numPr>
          <w:ilvl w:val="0"/>
          <w:numId w:val="1"/>
        </w:numPr>
        <w:pBdr>
          <w:top w:val="nil"/>
          <w:left w:val="nil"/>
          <w:bottom w:val="nil"/>
          <w:right w:val="nil"/>
          <w:between w:val="nil"/>
        </w:pBdr>
        <w:shd w:val="clear" w:color="auto" w:fill="FFFFFF"/>
        <w:spacing w:after="0"/>
        <w:jc w:val="both"/>
      </w:pPr>
      <w:r>
        <w:rPr>
          <w:color w:val="4A4A4A"/>
          <w:sz w:val="21"/>
          <w:szCs w:val="21"/>
          <w:u w:val="single"/>
        </w:rPr>
        <w:t>Regional assessments</w:t>
      </w:r>
      <w:r>
        <w:rPr>
          <w:color w:val="4A4A4A"/>
          <w:sz w:val="21"/>
          <w:szCs w:val="21"/>
        </w:rPr>
        <w:t>: PASEC, SACMEQ, ERCE, PILNA, SEAMEO.</w:t>
      </w:r>
    </w:p>
    <w:p w14:paraId="000000C2" w14:textId="25AEC631" w:rsidR="009A7089" w:rsidRDefault="00E62590">
      <w:pPr>
        <w:numPr>
          <w:ilvl w:val="0"/>
          <w:numId w:val="1"/>
        </w:numPr>
        <w:pBdr>
          <w:top w:val="nil"/>
          <w:left w:val="nil"/>
          <w:bottom w:val="nil"/>
          <w:right w:val="nil"/>
          <w:between w:val="nil"/>
        </w:pBdr>
        <w:shd w:val="clear" w:color="auto" w:fill="FFFFFF"/>
        <w:spacing w:after="0"/>
        <w:jc w:val="both"/>
      </w:pPr>
      <w:r>
        <w:rPr>
          <w:color w:val="4A4A4A"/>
          <w:sz w:val="21"/>
          <w:szCs w:val="21"/>
          <w:u w:val="single"/>
        </w:rPr>
        <w:t>National Large-Scale Assessments</w:t>
      </w:r>
      <w:r>
        <w:rPr>
          <w:color w:val="4A4A4A"/>
          <w:sz w:val="21"/>
          <w:szCs w:val="21"/>
        </w:rPr>
        <w:t xml:space="preserve"> either sample- or census-based. Countries should report the proportion of students by level of competency for each domain indicating </w:t>
      </w:r>
      <w:proofErr w:type="gramStart"/>
      <w:r>
        <w:rPr>
          <w:color w:val="4A4A4A"/>
          <w:sz w:val="21"/>
          <w:szCs w:val="21"/>
        </w:rPr>
        <w:t>as well the minimum proficiency level</w:t>
      </w:r>
      <w:proofErr w:type="gramEnd"/>
      <w:r>
        <w:rPr>
          <w:color w:val="4A4A4A"/>
          <w:sz w:val="21"/>
          <w:szCs w:val="21"/>
        </w:rPr>
        <w:t xml:space="preserve">, when it is defined by the national assessment. EGRA and EGMA as reported by USAID or individual countries. </w:t>
      </w:r>
    </w:p>
    <w:p w14:paraId="000000C3" w14:textId="77777777" w:rsidR="009A7089" w:rsidRDefault="009A7089">
      <w:pPr>
        <w:pBdr>
          <w:top w:val="nil"/>
          <w:left w:val="nil"/>
          <w:bottom w:val="nil"/>
          <w:right w:val="nil"/>
          <w:between w:val="nil"/>
        </w:pBdr>
        <w:shd w:val="clear" w:color="auto" w:fill="FFFFFF"/>
        <w:spacing w:after="0"/>
        <w:ind w:left="720"/>
        <w:rPr>
          <w:color w:val="4A4A4A"/>
          <w:sz w:val="21"/>
          <w:szCs w:val="21"/>
        </w:rPr>
      </w:pPr>
    </w:p>
    <w:p w14:paraId="000000C4" w14:textId="77777777" w:rsidR="009A7089" w:rsidRDefault="00E62590">
      <w:pPr>
        <w:shd w:val="clear" w:color="auto" w:fill="FFFFFF"/>
        <w:spacing w:after="0"/>
        <w:rPr>
          <w:b/>
          <w:color w:val="4A4A4A"/>
          <w:sz w:val="21"/>
          <w:szCs w:val="21"/>
        </w:rPr>
      </w:pPr>
      <w:r>
        <w:rPr>
          <w:b/>
          <w:color w:val="4A4A4A"/>
          <w:sz w:val="21"/>
          <w:szCs w:val="21"/>
        </w:rPr>
        <w:t>Household-Based surveys</w:t>
      </w:r>
    </w:p>
    <w:p w14:paraId="000000C5" w14:textId="77777777" w:rsidR="009A7089" w:rsidRDefault="00E62590">
      <w:pPr>
        <w:numPr>
          <w:ilvl w:val="0"/>
          <w:numId w:val="1"/>
        </w:numPr>
        <w:pBdr>
          <w:top w:val="nil"/>
          <w:left w:val="nil"/>
          <w:bottom w:val="nil"/>
          <w:right w:val="nil"/>
          <w:between w:val="nil"/>
        </w:pBdr>
        <w:shd w:val="clear" w:color="auto" w:fill="FFFFFF"/>
        <w:spacing w:after="0"/>
        <w:jc w:val="both"/>
        <w:rPr>
          <w:color w:val="4A4A4A"/>
          <w:sz w:val="21"/>
          <w:szCs w:val="21"/>
        </w:rPr>
      </w:pPr>
      <w:r>
        <w:rPr>
          <w:color w:val="4A4A4A"/>
          <w:sz w:val="21"/>
          <w:szCs w:val="21"/>
        </w:rPr>
        <w:t>MICS6: reported to the UIS by UNICEF</w:t>
      </w:r>
    </w:p>
    <w:p w14:paraId="000000C6" w14:textId="77777777" w:rsidR="009A7089" w:rsidRDefault="00E62590">
      <w:pPr>
        <w:numPr>
          <w:ilvl w:val="0"/>
          <w:numId w:val="1"/>
        </w:numPr>
        <w:pBdr>
          <w:top w:val="nil"/>
          <w:left w:val="nil"/>
          <w:bottom w:val="nil"/>
          <w:right w:val="nil"/>
          <w:between w:val="nil"/>
        </w:pBdr>
        <w:shd w:val="clear" w:color="auto" w:fill="FFFFFF"/>
        <w:spacing w:after="0"/>
        <w:jc w:val="both"/>
        <w:rPr>
          <w:color w:val="4A4A4A"/>
          <w:sz w:val="21"/>
          <w:szCs w:val="21"/>
        </w:rPr>
      </w:pPr>
      <w:r>
        <w:rPr>
          <w:color w:val="4A4A4A"/>
          <w:sz w:val="21"/>
          <w:szCs w:val="21"/>
        </w:rPr>
        <w:t>Pal Network: reported to the UIS by Pal Network</w:t>
      </w:r>
    </w:p>
    <w:p w14:paraId="000000C8" w14:textId="1596E047" w:rsidR="009A7089" w:rsidRDefault="009A7089">
      <w:pPr>
        <w:pBdr>
          <w:top w:val="nil"/>
          <w:left w:val="nil"/>
          <w:bottom w:val="nil"/>
          <w:right w:val="nil"/>
          <w:between w:val="nil"/>
        </w:pBdr>
        <w:shd w:val="clear" w:color="auto" w:fill="FFFFFF"/>
        <w:spacing w:after="0"/>
        <w:rPr>
          <w:color w:val="4A4A4A"/>
          <w:sz w:val="21"/>
          <w:szCs w:val="21"/>
        </w:rPr>
      </w:pPr>
    </w:p>
    <w:p w14:paraId="000000C9"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3.f. Data compilers </w:t>
      </w:r>
      <w:r>
        <w:rPr>
          <w:color w:val="B4B4B4"/>
          <w:sz w:val="20"/>
        </w:rPr>
        <w:t>(COMPILING_ORG)</w:t>
      </w:r>
    </w:p>
    <w:p w14:paraId="000000CA" w14:textId="70B5DBEA"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UNESCO Institute of Statistics (UIS)</w:t>
      </w:r>
    </w:p>
    <w:p w14:paraId="000000CB"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CC"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3.g. Institutional mandate </w:t>
      </w:r>
      <w:r>
        <w:rPr>
          <w:color w:val="B4B4B4"/>
          <w:sz w:val="20"/>
        </w:rPr>
        <w:t>(INST_MANDATE)</w:t>
      </w:r>
    </w:p>
    <w:p w14:paraId="03D3FD9D" w14:textId="0BC292E0" w:rsidR="002A2C08" w:rsidRPr="001A69DA" w:rsidRDefault="002A2C08" w:rsidP="002A2C08">
      <w:pPr>
        <w:pBdr>
          <w:top w:val="nil"/>
          <w:left w:val="nil"/>
          <w:bottom w:val="nil"/>
          <w:right w:val="nil"/>
          <w:between w:val="nil"/>
        </w:pBdr>
        <w:shd w:val="clear" w:color="auto" w:fill="FFFFFF"/>
        <w:spacing w:after="0"/>
        <w:rPr>
          <w:rFonts w:asciiTheme="minorHAnsi" w:eastAsia="Times New Roman" w:hAnsiTheme="minorHAnsi" w:cs="Times New Roman"/>
          <w:color w:val="4A4A4A"/>
          <w:sz w:val="21"/>
          <w:szCs w:val="21"/>
          <w:lang w:eastAsia="en-GB"/>
        </w:rPr>
      </w:pPr>
      <w:r w:rsidRPr="001A69DA">
        <w:rPr>
          <w:rFonts w:asciiTheme="minorHAnsi" w:eastAsia="Times New Roman" w:hAnsiTheme="minorHAnsi" w:cs="Times New Roman"/>
          <w:color w:val="4A4A4A"/>
          <w:sz w:val="21"/>
          <w:szCs w:val="21"/>
          <w:lang w:eastAsia="en-GB"/>
        </w:rPr>
        <w:t xml:space="preserve">The UNESCO Institute for Statistics (UIS) is the statistical branch of the United Nations Educational, Scientific and Cultural Organization (UNESCO). The Institute produces internationally comparable data and methodologies in the fields of education, science, </w:t>
      </w:r>
      <w:proofErr w:type="gramStart"/>
      <w:r w:rsidRPr="001A69DA">
        <w:rPr>
          <w:rFonts w:asciiTheme="minorHAnsi" w:eastAsia="Times New Roman" w:hAnsiTheme="minorHAnsi" w:cs="Times New Roman"/>
          <w:color w:val="4A4A4A"/>
          <w:sz w:val="21"/>
          <w:szCs w:val="21"/>
          <w:lang w:eastAsia="en-GB"/>
        </w:rPr>
        <w:t>culture</w:t>
      </w:r>
      <w:proofErr w:type="gramEnd"/>
      <w:r w:rsidRPr="001A69DA">
        <w:rPr>
          <w:rFonts w:asciiTheme="minorHAnsi" w:eastAsia="Times New Roman" w:hAnsiTheme="minorHAnsi" w:cs="Times New Roman"/>
          <w:color w:val="4A4A4A"/>
          <w:sz w:val="21"/>
          <w:szCs w:val="21"/>
          <w:lang w:eastAsia="en-GB"/>
        </w:rPr>
        <w:t xml:space="preserve"> and communication for countries at all stages of development.</w:t>
      </w:r>
    </w:p>
    <w:p w14:paraId="76B52216" w14:textId="77777777" w:rsidR="002A2C08" w:rsidRPr="001A69DA" w:rsidRDefault="002A2C08" w:rsidP="002A2C08">
      <w:pPr>
        <w:pBdr>
          <w:top w:val="nil"/>
          <w:left w:val="nil"/>
          <w:bottom w:val="nil"/>
          <w:right w:val="nil"/>
          <w:between w:val="nil"/>
        </w:pBdr>
        <w:shd w:val="clear" w:color="auto" w:fill="FFFFFF"/>
        <w:spacing w:after="0"/>
        <w:rPr>
          <w:rFonts w:eastAsiaTheme="minorEastAsia" w:cstheme="minorBidi"/>
          <w:lang w:eastAsia="zh-CN"/>
        </w:rPr>
      </w:pPr>
    </w:p>
    <w:p w14:paraId="1DE98CB9" w14:textId="41E38793" w:rsidR="002A2C08" w:rsidRDefault="002A2C08" w:rsidP="002A2C08">
      <w:pPr>
        <w:pStyle w:val="MText"/>
        <w:rPr>
          <w:rFonts w:eastAsia="Calibri" w:cs="Calibri"/>
          <w:i/>
          <w:lang w:eastAsia="en-CA"/>
        </w:rPr>
      </w:pPr>
      <w:r>
        <w:rPr>
          <w:rFonts w:eastAsiaTheme="minorEastAsia" w:cstheme="minorBidi"/>
          <w:szCs w:val="22"/>
          <w:lang w:eastAsia="zh-CN"/>
        </w:rPr>
        <w:t>T</w:t>
      </w:r>
      <w:r w:rsidRPr="001A69DA">
        <w:rPr>
          <w:rFonts w:eastAsiaTheme="minorEastAsia" w:cstheme="minorBidi"/>
          <w:szCs w:val="22"/>
          <w:lang w:eastAsia="zh-CN"/>
        </w:rPr>
        <w:t xml:space="preserve">he </w:t>
      </w:r>
      <w:hyperlink r:id="rId17" w:history="1">
        <w:r w:rsidRPr="001A69DA">
          <w:rPr>
            <w:rFonts w:eastAsiaTheme="minorEastAsia" w:cstheme="minorBidi"/>
            <w:color w:val="0000FF"/>
            <w:szCs w:val="22"/>
            <w:u w:val="single"/>
            <w:lang w:eastAsia="zh-CN"/>
          </w:rPr>
          <w:t xml:space="preserve">Education 2030 Framework for Action </w:t>
        </w:r>
        <w:r w:rsidR="00614424" w:rsidRPr="00614424">
          <w:rPr>
            <w:rFonts w:eastAsiaTheme="minorEastAsia" w:cstheme="minorBidi"/>
            <w:color w:val="0000FF"/>
            <w:szCs w:val="22"/>
            <w:u w:val="single"/>
            <w:lang w:eastAsia="zh-CN"/>
          </w:rPr>
          <w:t>§</w:t>
        </w:r>
        <w:r w:rsidRPr="001A69DA">
          <w:rPr>
            <w:rFonts w:eastAsiaTheme="minorEastAsia" w:cstheme="minorBidi"/>
            <w:color w:val="0000FF"/>
            <w:szCs w:val="22"/>
            <w:u w:val="single"/>
            <w:lang w:eastAsia="zh-CN"/>
          </w:rPr>
          <w:t>100</w:t>
        </w:r>
      </w:hyperlink>
      <w:r w:rsidRPr="001A69DA">
        <w:rPr>
          <w:rFonts w:eastAsiaTheme="minorEastAsia" w:cstheme="minorBidi"/>
          <w:szCs w:val="22"/>
          <w:lang w:eastAsia="zh-CN"/>
        </w:rPr>
        <w:t xml:space="preserve"> has clearly </w:t>
      </w:r>
      <w:r w:rsidRPr="00011A40">
        <w:rPr>
          <w:rFonts w:eastAsia="Calibri" w:cs="Calibri"/>
          <w:lang w:eastAsia="en-CA"/>
        </w:rPr>
        <w:t>state</w:t>
      </w:r>
      <w:r>
        <w:rPr>
          <w:rFonts w:eastAsia="Calibri" w:cs="Calibri"/>
          <w:lang w:eastAsia="en-CA"/>
        </w:rPr>
        <w:t>d</w:t>
      </w:r>
      <w:r w:rsidRPr="001A69DA">
        <w:rPr>
          <w:rFonts w:eastAsiaTheme="minorEastAsia" w:cstheme="minorBidi"/>
          <w:szCs w:val="22"/>
          <w:lang w:eastAsia="zh-CN"/>
        </w:rPr>
        <w:t xml:space="preserve"> that:</w:t>
      </w:r>
      <w:r>
        <w:rPr>
          <w:rFonts w:eastAsiaTheme="minorEastAsia" w:cstheme="minorBidi"/>
          <w:szCs w:val="22"/>
          <w:lang w:eastAsia="zh-CN"/>
        </w:rPr>
        <w:t xml:space="preserve"> “</w:t>
      </w:r>
      <w:r w:rsidRPr="001A69DA">
        <w:rPr>
          <w:rFonts w:eastAsiaTheme="minorEastAsia" w:cstheme="minorBidi"/>
          <w:i/>
          <w:szCs w:val="22"/>
          <w:lang w:eastAsia="zh-CN"/>
        </w:rPr>
        <w:t xml:space="preserve">In recognition of the importance of harmonization of monitoring and reporting, the UIS will remain the official source of cross-nationally comparable data on education. It will continue to produce international monitoring indicators based on its annual education survey and on other data sources that guarantee international comparability for more than 200 countries and territories. In addition to collecting data, the UIS will work with partners to develop new indicators, statistical </w:t>
      </w:r>
      <w:proofErr w:type="gramStart"/>
      <w:r w:rsidRPr="001A69DA">
        <w:rPr>
          <w:rFonts w:eastAsiaTheme="minorEastAsia" w:cstheme="minorBidi"/>
          <w:i/>
          <w:szCs w:val="22"/>
          <w:lang w:eastAsia="zh-CN"/>
        </w:rPr>
        <w:t>approaches</w:t>
      </w:r>
      <w:proofErr w:type="gramEnd"/>
      <w:r w:rsidRPr="001A69DA">
        <w:rPr>
          <w:rFonts w:eastAsiaTheme="minorEastAsia" w:cstheme="minorBidi"/>
          <w:i/>
          <w:szCs w:val="22"/>
          <w:lang w:eastAsia="zh-CN"/>
        </w:rPr>
        <w:t xml:space="preserve"> and monitoring tools to better assess progress across the targets related to UNESCO’s mandate, working in coordination with the SDG-Education 2030 SC</w:t>
      </w:r>
      <w:r w:rsidRPr="00011A40">
        <w:rPr>
          <w:rFonts w:eastAsia="Calibri" w:cs="Calibri"/>
          <w:i/>
          <w:lang w:eastAsia="en-CA"/>
        </w:rPr>
        <w:t>”</w:t>
      </w:r>
      <w:r>
        <w:rPr>
          <w:rFonts w:eastAsia="Calibri" w:cs="Calibri"/>
          <w:i/>
          <w:lang w:eastAsia="en-CA"/>
        </w:rPr>
        <w:t>.</w:t>
      </w:r>
    </w:p>
    <w:p w14:paraId="5C5A008D" w14:textId="77777777" w:rsidR="002A2C08" w:rsidRDefault="002A2C08">
      <w:pPr>
        <w:pBdr>
          <w:top w:val="nil"/>
          <w:left w:val="nil"/>
          <w:bottom w:val="nil"/>
          <w:right w:val="nil"/>
          <w:between w:val="nil"/>
        </w:pBdr>
        <w:shd w:val="clear" w:color="auto" w:fill="FFFFFF"/>
        <w:spacing w:after="0"/>
        <w:rPr>
          <w:color w:val="4A4A4A"/>
          <w:sz w:val="21"/>
          <w:szCs w:val="21"/>
        </w:rPr>
      </w:pPr>
    </w:p>
    <w:p w14:paraId="000000D1" w14:textId="77777777" w:rsidR="009A7089" w:rsidRDefault="00E62590">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4. Other methodological considerations </w:t>
      </w:r>
      <w:r>
        <w:rPr>
          <w:color w:val="B4B4B4"/>
          <w:sz w:val="20"/>
        </w:rPr>
        <w:t>(OTHER_METHOD)</w:t>
      </w:r>
    </w:p>
    <w:p w14:paraId="000000D2"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4.a. Rationale </w:t>
      </w:r>
      <w:r>
        <w:rPr>
          <w:color w:val="B4B4B4"/>
          <w:sz w:val="20"/>
        </w:rPr>
        <w:t>(RATIONALE)</w:t>
      </w:r>
    </w:p>
    <w:p w14:paraId="000000D3"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The indicator aims to measure the percentage of children and young people who have achieved the minimum learning outcomes in reading and mathematics during or at the end of the relevant stages of education.</w:t>
      </w:r>
    </w:p>
    <w:p w14:paraId="56BF8156" w14:textId="77777777" w:rsidR="006C5D0F" w:rsidRDefault="006C5D0F">
      <w:pPr>
        <w:pBdr>
          <w:top w:val="nil"/>
          <w:left w:val="nil"/>
          <w:bottom w:val="nil"/>
          <w:right w:val="nil"/>
          <w:between w:val="nil"/>
        </w:pBdr>
        <w:shd w:val="clear" w:color="auto" w:fill="FFFFFF"/>
        <w:spacing w:after="0"/>
        <w:rPr>
          <w:color w:val="4A4A4A"/>
          <w:sz w:val="21"/>
          <w:szCs w:val="21"/>
        </w:rPr>
      </w:pPr>
    </w:p>
    <w:p w14:paraId="000000D4"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The higher the figure, the higher the proportion of children and/or young people reaching at least minimum proficiency in the respective domain (reading or mathematic) with the limitations indicated under the “Comments and limitations” section.</w:t>
      </w:r>
    </w:p>
    <w:p w14:paraId="000000D5"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D6"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4.b. Comment and limitations </w:t>
      </w:r>
      <w:r>
        <w:rPr>
          <w:color w:val="B4B4B4"/>
          <w:sz w:val="20"/>
        </w:rPr>
        <w:t>(REC_USE_LIM)</w:t>
      </w:r>
    </w:p>
    <w:p w14:paraId="000000D8" w14:textId="21E80E93"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Learning outcomes from cross-national learning assessment are directly comparable for all countries which participated in the same cross-national learning assessments. However, these outcomes are not comparable across different cross-national learning assessments or with national learning assessments. A level of comparability of learning outcomes across assessments could be achieved by using different methodologies, each with varying standard errors.</w:t>
      </w:r>
      <w:r w:rsidR="002A2C08" w:rsidRPr="002A2C08">
        <w:rPr>
          <w:color w:val="4A4A4A"/>
          <w:sz w:val="21"/>
          <w:szCs w:val="21"/>
        </w:rPr>
        <w:t xml:space="preserve"> </w:t>
      </w:r>
      <w:r w:rsidR="002A2C08">
        <w:rPr>
          <w:color w:val="4A4A4A"/>
          <w:sz w:val="21"/>
          <w:szCs w:val="21"/>
        </w:rPr>
        <w:t>The UIS has implemented a mechanism of comparability t</w:t>
      </w:r>
      <w:r w:rsidR="00A5545A">
        <w:rPr>
          <w:color w:val="4A4A4A"/>
          <w:sz w:val="21"/>
          <w:szCs w:val="21"/>
        </w:rPr>
        <w:t>h</w:t>
      </w:r>
      <w:r w:rsidR="002A2C08">
        <w:rPr>
          <w:color w:val="4A4A4A"/>
          <w:sz w:val="21"/>
          <w:szCs w:val="21"/>
        </w:rPr>
        <w:t xml:space="preserve">rough a consensus on the definition of the skills and contents. </w:t>
      </w:r>
      <w:r>
        <w:rPr>
          <w:color w:val="4A4A4A"/>
          <w:sz w:val="21"/>
          <w:szCs w:val="21"/>
        </w:rPr>
        <w:t>The comparability of learning outcomes over time has additional complications, which require, ideally, to design and implement a set of comparable items as anchors in advance. Methodological developments are underway to address comparability of assessments outcomes over time.</w:t>
      </w:r>
    </w:p>
    <w:p w14:paraId="000000D9"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DA"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4.c. Method of computation </w:t>
      </w:r>
      <w:r>
        <w:rPr>
          <w:color w:val="B4B4B4"/>
          <w:sz w:val="20"/>
        </w:rPr>
        <w:t>(DATA_COMP)</w:t>
      </w:r>
    </w:p>
    <w:p w14:paraId="000000DB" w14:textId="77777777" w:rsidR="009A7089" w:rsidRDefault="00E62590">
      <w:pPr>
        <w:rPr>
          <w:color w:val="4A4A4A"/>
          <w:sz w:val="21"/>
          <w:szCs w:val="21"/>
        </w:rPr>
      </w:pPr>
      <w:r>
        <w:rPr>
          <w:color w:val="4A4A4A"/>
          <w:sz w:val="21"/>
          <w:szCs w:val="21"/>
        </w:rPr>
        <w:t xml:space="preserve">The number of children and/or young people at the relevant stage of education </w:t>
      </w:r>
      <w:r>
        <w:rPr>
          <w:b/>
          <w:color w:val="4A4A4A"/>
          <w:sz w:val="21"/>
          <w:szCs w:val="21"/>
        </w:rPr>
        <w:t>n</w:t>
      </w:r>
      <w:r>
        <w:rPr>
          <w:color w:val="4A4A4A"/>
          <w:sz w:val="21"/>
          <w:szCs w:val="21"/>
        </w:rPr>
        <w:t xml:space="preserve"> in year </w:t>
      </w:r>
      <w:proofErr w:type="spellStart"/>
      <w:r>
        <w:rPr>
          <w:b/>
          <w:color w:val="4A4A4A"/>
          <w:sz w:val="21"/>
          <w:szCs w:val="21"/>
        </w:rPr>
        <w:t>t</w:t>
      </w:r>
      <w:proofErr w:type="spellEnd"/>
      <w:r>
        <w:rPr>
          <w:color w:val="4A4A4A"/>
          <w:sz w:val="21"/>
          <w:szCs w:val="21"/>
        </w:rPr>
        <w:t xml:space="preserve"> achieving or exceeding the pre-defined proficiency level in subject s expressed as a percentage of the number of children and/or young people at stage of education </w:t>
      </w:r>
      <w:r>
        <w:rPr>
          <w:b/>
          <w:color w:val="4A4A4A"/>
          <w:sz w:val="21"/>
          <w:szCs w:val="21"/>
        </w:rPr>
        <w:t>n</w:t>
      </w:r>
      <w:r>
        <w:rPr>
          <w:color w:val="4A4A4A"/>
          <w:sz w:val="21"/>
          <w:szCs w:val="21"/>
        </w:rPr>
        <w:t xml:space="preserve">, in year </w:t>
      </w:r>
      <w:r>
        <w:rPr>
          <w:b/>
          <w:color w:val="4A4A4A"/>
          <w:sz w:val="21"/>
          <w:szCs w:val="21"/>
        </w:rPr>
        <w:t>t</w:t>
      </w:r>
      <w:r>
        <w:rPr>
          <w:color w:val="4A4A4A"/>
          <w:sz w:val="21"/>
          <w:szCs w:val="21"/>
        </w:rPr>
        <w:t xml:space="preserve">, in any proficiency level in subject </w:t>
      </w:r>
      <w:r>
        <w:rPr>
          <w:b/>
          <w:color w:val="4A4A4A"/>
          <w:sz w:val="21"/>
          <w:szCs w:val="21"/>
        </w:rPr>
        <w:t>s</w:t>
      </w:r>
      <w:r>
        <w:rPr>
          <w:color w:val="4A4A4A"/>
          <w:sz w:val="21"/>
          <w:szCs w:val="21"/>
        </w:rPr>
        <w:t>.</w:t>
      </w:r>
    </w:p>
    <w:p w14:paraId="3AE15DCA" w14:textId="13AED12D" w:rsidR="001E4134" w:rsidRPr="001E4134" w:rsidRDefault="00247C72">
      <m:oMathPara>
        <m:oMath>
          <m:sSub>
            <m:sSubPr>
              <m:ctrlPr>
                <w:rPr>
                  <w:rFonts w:ascii="Cambria Math" w:hAnsi="Cambria Math"/>
                  <w:i/>
                </w:rPr>
              </m:ctrlPr>
            </m:sSubPr>
            <m:e>
              <m:r>
                <w:rPr>
                  <w:rFonts w:ascii="Cambria Math" w:hAnsi="Cambria Math"/>
                </w:rPr>
                <m:t>MPL</m:t>
              </m:r>
            </m:e>
            <m:sub>
              <m:r>
                <w:rPr>
                  <w:rFonts w:ascii="Cambria Math" w:hAnsi="Cambria Math"/>
                </w:rPr>
                <m:t>t, n, s</m:t>
              </m:r>
            </m:sub>
          </m:sSub>
          <m:r>
            <w:rPr>
              <w:rFonts w:ascii="Cambria Math" w:hAnsi="Cambria Math"/>
            </w:rPr>
            <m:t>=</m:t>
          </m:r>
          <m:f>
            <m:fPr>
              <m:ctrlPr>
                <w:rPr>
                  <w:rFonts w:ascii="Cambria Math" w:hAnsi="Cambria Math"/>
                  <w:i/>
                </w:rPr>
              </m:ctrlPr>
            </m:fPr>
            <m:num>
              <m:r>
                <w:rPr>
                  <w:rFonts w:ascii="Cambria Math" w:hAnsi="Cambria Math"/>
                </w:rPr>
                <m:t>MP t,n,s</m:t>
              </m:r>
            </m:num>
            <m:den>
              <m:sSub>
                <m:sSubPr>
                  <m:ctrlPr>
                    <w:rPr>
                      <w:rFonts w:ascii="Cambria Math" w:hAnsi="Cambria Math"/>
                      <w:i/>
                    </w:rPr>
                  </m:ctrlPr>
                </m:sSubPr>
                <m:e>
                  <m:r>
                    <w:rPr>
                      <w:rFonts w:ascii="Cambria Math" w:hAnsi="Cambria Math"/>
                    </w:rPr>
                    <m:t>P</m:t>
                  </m:r>
                </m:e>
                <m:sub>
                  <m:r>
                    <w:rPr>
                      <w:rFonts w:ascii="Cambria Math" w:hAnsi="Cambria Math"/>
                    </w:rPr>
                    <m:t>t, n</m:t>
                  </m:r>
                </m:sub>
              </m:sSub>
            </m:den>
          </m:f>
        </m:oMath>
      </m:oMathPara>
    </w:p>
    <w:p w14:paraId="000000DE" w14:textId="4545A82E" w:rsidR="009A7089" w:rsidRDefault="00E62590" w:rsidP="00FD31CB">
      <w:pPr>
        <w:spacing w:after="0"/>
        <w:rPr>
          <w:color w:val="4A4A4A"/>
          <w:sz w:val="21"/>
          <w:szCs w:val="21"/>
        </w:rPr>
      </w:pPr>
      <w:bookmarkStart w:id="6" w:name="_heading=h.30j0zll" w:colFirst="0" w:colLast="0"/>
      <w:bookmarkEnd w:id="6"/>
      <w:r>
        <w:rPr>
          <w:color w:val="4A4A4A"/>
          <w:sz w:val="21"/>
          <w:szCs w:val="21"/>
        </w:rPr>
        <w:t xml:space="preserve">where: </w:t>
      </w:r>
    </w:p>
    <w:p w14:paraId="3EEFBD92" w14:textId="349B57DB" w:rsidR="002A2C08" w:rsidRDefault="002A2C08" w:rsidP="002A2C08">
      <w:pPr>
        <w:spacing w:after="0"/>
        <w:rPr>
          <w:color w:val="4A4A4A"/>
          <w:sz w:val="21"/>
          <w:szCs w:val="21"/>
        </w:rPr>
      </w:pPr>
      <w:proofErr w:type="spellStart"/>
      <w:proofErr w:type="gramStart"/>
      <w:r w:rsidRPr="00FA42E7">
        <w:rPr>
          <w:i/>
          <w:color w:val="4A4A4A"/>
          <w:sz w:val="21"/>
          <w:szCs w:val="21"/>
        </w:rPr>
        <w:t>MP</w:t>
      </w:r>
      <w:r w:rsidRPr="00FA42E7">
        <w:rPr>
          <w:i/>
          <w:color w:val="4A4A4A"/>
          <w:sz w:val="21"/>
          <w:szCs w:val="21"/>
          <w:vertAlign w:val="subscript"/>
        </w:rPr>
        <w:t>t</w:t>
      </w:r>
      <w:r w:rsidRPr="00FA42E7">
        <w:rPr>
          <w:i/>
          <w:color w:val="4A4A4A"/>
          <w:sz w:val="21"/>
          <w:vertAlign w:val="subscript"/>
        </w:rPr>
        <w:t>,n</w:t>
      </w:r>
      <w:proofErr w:type="gramEnd"/>
      <w:r w:rsidRPr="00FA42E7">
        <w:rPr>
          <w:i/>
          <w:color w:val="4A4A4A"/>
          <w:sz w:val="21"/>
          <w:vertAlign w:val="subscript"/>
        </w:rPr>
        <w:t>,s</w:t>
      </w:r>
      <w:proofErr w:type="spellEnd"/>
      <w:r>
        <w:rPr>
          <w:color w:val="4A4A4A"/>
          <w:sz w:val="21"/>
          <w:szCs w:val="21"/>
        </w:rPr>
        <w:t xml:space="preserve"> = the number of children and young people at stage of education n, in year t, who have achieved or exceeded the minimum proficiency level in subject s.</w:t>
      </w:r>
    </w:p>
    <w:p w14:paraId="53BBFD33" w14:textId="54D85166" w:rsidR="002A2C08" w:rsidRDefault="002A2C08" w:rsidP="00FD31CB">
      <w:pPr>
        <w:spacing w:after="0"/>
        <w:rPr>
          <w:color w:val="4A4A4A"/>
          <w:sz w:val="21"/>
          <w:szCs w:val="21"/>
        </w:rPr>
      </w:pPr>
      <w:proofErr w:type="spellStart"/>
      <w:proofErr w:type="gramStart"/>
      <w:r w:rsidRPr="00FA42E7">
        <w:rPr>
          <w:i/>
          <w:color w:val="4A4A4A"/>
          <w:sz w:val="21"/>
        </w:rPr>
        <w:t>P</w:t>
      </w:r>
      <w:r w:rsidRPr="00FA42E7">
        <w:rPr>
          <w:i/>
          <w:color w:val="4A4A4A"/>
          <w:sz w:val="21"/>
          <w:vertAlign w:val="subscript"/>
        </w:rPr>
        <w:t>t,n</w:t>
      </w:r>
      <w:proofErr w:type="spellEnd"/>
      <w:proofErr w:type="gramEnd"/>
      <w:r>
        <w:rPr>
          <w:color w:val="4A4A4A"/>
          <w:sz w:val="21"/>
          <w:szCs w:val="21"/>
        </w:rPr>
        <w:t xml:space="preserve"> = the total number of children and young people at stage of education n, in year t.</w:t>
      </w:r>
    </w:p>
    <w:p w14:paraId="748E76A6" w14:textId="33886199" w:rsidR="00436F81" w:rsidRDefault="00E62590" w:rsidP="00436F81">
      <w:pPr>
        <w:spacing w:after="0"/>
        <w:rPr>
          <w:color w:val="4A4A4A"/>
          <w:sz w:val="21"/>
          <w:szCs w:val="21"/>
        </w:rPr>
      </w:pPr>
      <w:r w:rsidRPr="00FA42E7">
        <w:rPr>
          <w:i/>
          <w:color w:val="4A4A4A"/>
          <w:sz w:val="21"/>
        </w:rPr>
        <w:t>n</w:t>
      </w:r>
      <w:r>
        <w:rPr>
          <w:color w:val="4A4A4A"/>
          <w:sz w:val="21"/>
          <w:szCs w:val="21"/>
        </w:rPr>
        <w:tab/>
        <w:t>= the stage of education that was assessed</w:t>
      </w:r>
      <w:r w:rsidR="00436F81">
        <w:rPr>
          <w:color w:val="4A4A4A"/>
          <w:sz w:val="21"/>
          <w:szCs w:val="21"/>
        </w:rPr>
        <w:t>.</w:t>
      </w:r>
    </w:p>
    <w:p w14:paraId="000000E6" w14:textId="654C8AD6" w:rsidR="009A7089" w:rsidRDefault="00E62590" w:rsidP="00436F81">
      <w:pPr>
        <w:spacing w:after="0"/>
        <w:rPr>
          <w:color w:val="4A4A4A"/>
          <w:sz w:val="21"/>
          <w:szCs w:val="21"/>
        </w:rPr>
      </w:pPr>
      <w:r w:rsidRPr="00FA42E7">
        <w:rPr>
          <w:i/>
          <w:color w:val="4A4A4A"/>
          <w:sz w:val="21"/>
        </w:rPr>
        <w:t>s</w:t>
      </w:r>
      <w:r>
        <w:rPr>
          <w:color w:val="4A4A4A"/>
          <w:sz w:val="21"/>
          <w:szCs w:val="21"/>
        </w:rPr>
        <w:tab/>
        <w:t>= the subject that was assessed (reading or mathematics).</w:t>
      </w:r>
    </w:p>
    <w:p w14:paraId="69AD0310" w14:textId="77777777" w:rsidR="00436F81" w:rsidRDefault="00436F81" w:rsidP="00FD31CB">
      <w:pPr>
        <w:spacing w:after="0"/>
        <w:rPr>
          <w:color w:val="4A4A4A"/>
          <w:sz w:val="21"/>
          <w:szCs w:val="21"/>
        </w:rPr>
      </w:pPr>
    </w:p>
    <w:p w14:paraId="000000E8" w14:textId="77777777" w:rsidR="009A7089" w:rsidRDefault="00E62590">
      <w:pPr>
        <w:spacing w:after="0"/>
        <w:rPr>
          <w:b/>
          <w:color w:val="4A4A4A"/>
          <w:sz w:val="21"/>
          <w:szCs w:val="21"/>
        </w:rPr>
      </w:pPr>
      <w:r>
        <w:rPr>
          <w:b/>
          <w:color w:val="4A4A4A"/>
          <w:sz w:val="21"/>
          <w:szCs w:val="21"/>
        </w:rPr>
        <w:t>Harmonize various data sources</w:t>
      </w:r>
    </w:p>
    <w:p w14:paraId="000000E9" w14:textId="77777777" w:rsidR="009A7089" w:rsidRDefault="00E62590">
      <w:pPr>
        <w:rPr>
          <w:color w:val="4A4A4A"/>
          <w:sz w:val="21"/>
          <w:szCs w:val="21"/>
        </w:rPr>
      </w:pPr>
      <w:r>
        <w:rPr>
          <w:color w:val="4A4A4A"/>
          <w:sz w:val="21"/>
          <w:szCs w:val="21"/>
        </w:rPr>
        <w:t xml:space="preserve">To address the challenges posed by the limited capacity of some countries to implement cross-national, regional, and national assessments, actions have been taken by the UIS and its partners. The strategies are used according to its level of precision and following a </w:t>
      </w:r>
      <w:hyperlink r:id="rId18">
        <w:r>
          <w:rPr>
            <w:color w:val="0000FF"/>
            <w:sz w:val="21"/>
            <w:szCs w:val="21"/>
            <w:u w:val="single"/>
          </w:rPr>
          <w:t>reporting protocol</w:t>
        </w:r>
      </w:hyperlink>
      <w:r>
        <w:rPr>
          <w:color w:val="4A4A4A"/>
          <w:sz w:val="21"/>
          <w:szCs w:val="21"/>
        </w:rPr>
        <w:t xml:space="preserve"> that includes the national assessments under specific circumstances. </w:t>
      </w:r>
    </w:p>
    <w:p w14:paraId="000000EB" w14:textId="132E95D6" w:rsidR="009A7089" w:rsidRPr="00FD31CB" w:rsidRDefault="00247C72" w:rsidP="00FD31CB">
      <w:pPr>
        <w:pBdr>
          <w:top w:val="nil"/>
          <w:left w:val="nil"/>
          <w:bottom w:val="nil"/>
          <w:right w:val="nil"/>
          <w:between w:val="nil"/>
        </w:pBdr>
        <w:shd w:val="clear" w:color="auto" w:fill="FFFFFF"/>
        <w:spacing w:after="0"/>
        <w:rPr>
          <w:b/>
          <w:color w:val="4A4A4A"/>
          <w:sz w:val="21"/>
        </w:rPr>
      </w:pPr>
      <w:sdt>
        <w:sdtPr>
          <w:tag w:val="goog_rdk_72"/>
          <w:id w:val="-27881737"/>
        </w:sdtPr>
        <w:sdtEndPr/>
        <w:sdtContent>
          <w:sdt>
            <w:sdtPr>
              <w:tag w:val="goog_rdk_71"/>
              <w:id w:val="373737418"/>
            </w:sdtPr>
            <w:sdtEndPr/>
            <w:sdtContent/>
          </w:sdt>
        </w:sdtContent>
      </w:sdt>
      <w:sdt>
        <w:sdtPr>
          <w:tag w:val="goog_rdk_74"/>
          <w:id w:val="-778724737"/>
        </w:sdtPr>
        <w:sdtEndPr/>
        <w:sdtContent>
          <w:r w:rsidR="00E62590" w:rsidRPr="001B618E">
            <w:rPr>
              <w:b/>
              <w:color w:val="4A4A4A"/>
              <w:sz w:val="21"/>
              <w:szCs w:val="21"/>
            </w:rPr>
            <w:t xml:space="preserve">Completion </w:t>
          </w:r>
          <w:r w:rsidR="00E87584" w:rsidRPr="001B618E">
            <w:rPr>
              <w:b/>
              <w:color w:val="4A4A4A"/>
              <w:sz w:val="21"/>
              <w:szCs w:val="21"/>
            </w:rPr>
            <w:t xml:space="preserve">status </w:t>
          </w:r>
        </w:sdtContent>
      </w:sdt>
    </w:p>
    <w:p w14:paraId="1A625684" w14:textId="4FDE6D2B" w:rsidR="00436F81" w:rsidRDefault="00436F81" w:rsidP="00436F81">
      <w:pPr>
        <w:spacing w:after="0"/>
        <w:rPr>
          <w:rStyle w:val="Hyperlink"/>
          <w:sz w:val="21"/>
          <w:szCs w:val="21"/>
        </w:rPr>
      </w:pPr>
      <w:r w:rsidRPr="00FD31CB">
        <w:rPr>
          <w:color w:val="4A4A4A"/>
          <w:sz w:val="21"/>
          <w:szCs w:val="21"/>
        </w:rPr>
        <w:t xml:space="preserve">Combining completion rates with learning outcomes improves our understanding of progress towards Target 4.1. Almost all information regarding learning is school-based and does not </w:t>
      </w:r>
      <w:proofErr w:type="gramStart"/>
      <w:r w:rsidRPr="00FD31CB">
        <w:rPr>
          <w:color w:val="4A4A4A"/>
          <w:sz w:val="21"/>
          <w:szCs w:val="21"/>
        </w:rPr>
        <w:t>take into account</w:t>
      </w:r>
      <w:proofErr w:type="gramEnd"/>
      <w:r w:rsidRPr="00FD31CB">
        <w:rPr>
          <w:color w:val="4A4A4A"/>
          <w:sz w:val="21"/>
          <w:szCs w:val="21"/>
        </w:rPr>
        <w:t xml:space="preserve"> the </w:t>
      </w:r>
      <w:r w:rsidRPr="00FD31CB">
        <w:rPr>
          <w:color w:val="4A4A4A"/>
          <w:sz w:val="21"/>
          <w:szCs w:val="21"/>
        </w:rPr>
        <w:lastRenderedPageBreak/>
        <w:t xml:space="preserve">completion of the level. The inclusion of completion in the global list offers to report according to completion status. </w:t>
      </w:r>
      <w:r w:rsidR="00F45CA4">
        <w:rPr>
          <w:color w:val="4A4A4A"/>
          <w:sz w:val="21"/>
          <w:szCs w:val="21"/>
        </w:rPr>
        <w:t>T</w:t>
      </w:r>
      <w:r w:rsidRPr="00FD31CB">
        <w:rPr>
          <w:color w:val="4A4A4A"/>
          <w:sz w:val="21"/>
          <w:szCs w:val="21"/>
        </w:rPr>
        <w:t>he greatest differences between the SDG 4.1.1 on learning before completion and the disaggregation by completion are found in regions or countries with lower completion and enrolment rates because the adjusted (or children completing and learning) indicator is based on a quality-adjusted completion rate. This also explains why the largest differences occur at the lower-secondary level. Globally, 47% of lower-secondary students achieve minimum proficiency in reading according to the original SDG 4.1.1 Indicator, but the value for the adjusted indicator would fall to 34% of adolescents completing lower secondary and achieving minimum proficiency in mathematics. References</w:t>
      </w:r>
      <w:r w:rsidRPr="00FD31CB">
        <w:rPr>
          <w:sz w:val="21"/>
          <w:szCs w:val="21"/>
        </w:rPr>
        <w:t xml:space="preserve"> </w:t>
      </w:r>
      <w:hyperlink r:id="rId19" w:history="1">
        <w:r w:rsidRPr="00FD31CB">
          <w:rPr>
            <w:rStyle w:val="Hyperlink"/>
            <w:sz w:val="21"/>
            <w:szCs w:val="21"/>
          </w:rPr>
          <w:t>here</w:t>
        </w:r>
      </w:hyperlink>
      <w:r w:rsidRPr="00FD31CB">
        <w:rPr>
          <w:rStyle w:val="Hyperlink"/>
          <w:sz w:val="21"/>
          <w:szCs w:val="21"/>
        </w:rPr>
        <w:t>.</w:t>
      </w:r>
    </w:p>
    <w:p w14:paraId="045FD77D" w14:textId="77777777" w:rsidR="00436F81" w:rsidRPr="00FD31CB" w:rsidRDefault="00436F81" w:rsidP="00FD31CB">
      <w:pPr>
        <w:spacing w:after="0"/>
        <w:rPr>
          <w:color w:val="1C75BC"/>
          <w:sz w:val="21"/>
          <w:szCs w:val="21"/>
        </w:rPr>
      </w:pPr>
    </w:p>
    <w:p w14:paraId="000000EE" w14:textId="45098C90" w:rsidR="009A7089" w:rsidRPr="00916491" w:rsidRDefault="00E62590" w:rsidP="00FD31CB">
      <w:pPr>
        <w:pBdr>
          <w:top w:val="nil"/>
          <w:left w:val="nil"/>
          <w:bottom w:val="single" w:sz="12" w:space="4" w:color="DDDDDD"/>
          <w:right w:val="nil"/>
          <w:between w:val="nil"/>
        </w:pBdr>
        <w:shd w:val="clear" w:color="auto" w:fill="FFFFFF"/>
        <w:spacing w:after="100" w:line="240" w:lineRule="auto"/>
      </w:pPr>
      <w:r w:rsidRPr="00FD31CB">
        <w:rPr>
          <w:color w:val="1C75BC"/>
          <w:sz w:val="26"/>
        </w:rPr>
        <w:t xml:space="preserve">4.d. Validation </w:t>
      </w:r>
      <w:r>
        <w:rPr>
          <w:color w:val="B4B4B4"/>
          <w:sz w:val="20"/>
        </w:rPr>
        <w:t>(DATA_VALIDATION)</w:t>
      </w:r>
    </w:p>
    <w:p w14:paraId="000000F2" w14:textId="3223E793" w:rsidR="009A7089" w:rsidRDefault="002A2C08" w:rsidP="002A2C08">
      <w:pPr>
        <w:pBdr>
          <w:top w:val="nil"/>
          <w:left w:val="nil"/>
          <w:bottom w:val="nil"/>
          <w:right w:val="nil"/>
          <w:between w:val="nil"/>
        </w:pBdr>
        <w:shd w:val="clear" w:color="auto" w:fill="FFFFFF"/>
        <w:spacing w:after="0"/>
        <w:jc w:val="both"/>
        <w:rPr>
          <w:color w:val="4A4A4A"/>
          <w:sz w:val="21"/>
          <w:szCs w:val="21"/>
        </w:rPr>
      </w:pPr>
      <w:r>
        <w:rPr>
          <w:color w:val="4A4A4A"/>
          <w:sz w:val="21"/>
          <w:szCs w:val="21"/>
        </w:rPr>
        <w:t xml:space="preserve">The </w:t>
      </w:r>
      <w:r w:rsidRPr="002A2C08">
        <w:rPr>
          <w:color w:val="4A4A4A"/>
          <w:sz w:val="21"/>
          <w:szCs w:val="21"/>
        </w:rPr>
        <w:t>quality control is granted by the setting of a Review Panel to discuss any problem/disagreement on implementation. The Review Panel is constituted by regionally representative experts on learning</w:t>
      </w:r>
      <w:r>
        <w:rPr>
          <w:color w:val="4A4A4A"/>
          <w:sz w:val="21"/>
          <w:szCs w:val="21"/>
        </w:rPr>
        <w:t>.</w:t>
      </w:r>
    </w:p>
    <w:p w14:paraId="2C90554A" w14:textId="77777777" w:rsidR="002A2C08" w:rsidRDefault="002A2C08" w:rsidP="00FD31CB">
      <w:pPr>
        <w:pBdr>
          <w:top w:val="nil"/>
          <w:left w:val="nil"/>
          <w:bottom w:val="nil"/>
          <w:right w:val="nil"/>
          <w:between w:val="nil"/>
        </w:pBdr>
        <w:shd w:val="clear" w:color="auto" w:fill="FFFFFF"/>
        <w:spacing w:after="0"/>
        <w:jc w:val="both"/>
        <w:rPr>
          <w:color w:val="4A4A4A"/>
          <w:sz w:val="21"/>
          <w:szCs w:val="21"/>
        </w:rPr>
      </w:pPr>
    </w:p>
    <w:p w14:paraId="000000F3" w14:textId="05A88FB9" w:rsidR="009A7089" w:rsidRPr="00916491" w:rsidRDefault="00E62590" w:rsidP="00FD31CB">
      <w:pPr>
        <w:pBdr>
          <w:top w:val="nil"/>
          <w:left w:val="nil"/>
          <w:bottom w:val="single" w:sz="12" w:space="4" w:color="DDDDDD"/>
          <w:right w:val="nil"/>
          <w:between w:val="nil"/>
        </w:pBdr>
        <w:shd w:val="clear" w:color="auto" w:fill="FFFFFF"/>
        <w:spacing w:after="100" w:line="240" w:lineRule="auto"/>
      </w:pPr>
      <w:r w:rsidRPr="00FD31CB">
        <w:rPr>
          <w:color w:val="1C75BC"/>
          <w:sz w:val="26"/>
        </w:rPr>
        <w:t xml:space="preserve">4.e. Adjustments </w:t>
      </w:r>
      <w:r>
        <w:rPr>
          <w:color w:val="B4B4B4"/>
          <w:sz w:val="20"/>
        </w:rPr>
        <w:t>(ADJUSTMENT)</w:t>
      </w:r>
    </w:p>
    <w:p w14:paraId="2DCFBF69" w14:textId="71970355" w:rsidR="002A2C08" w:rsidRDefault="002A2C08">
      <w:pPr>
        <w:pBdr>
          <w:top w:val="nil"/>
          <w:left w:val="nil"/>
          <w:bottom w:val="nil"/>
          <w:right w:val="nil"/>
          <w:between w:val="nil"/>
        </w:pBdr>
        <w:shd w:val="clear" w:color="auto" w:fill="FFFFFF"/>
        <w:spacing w:after="0"/>
        <w:rPr>
          <w:color w:val="4A4A4A"/>
          <w:sz w:val="21"/>
          <w:szCs w:val="21"/>
        </w:rPr>
      </w:pPr>
      <w:r>
        <w:rPr>
          <w:color w:val="4A4A4A"/>
          <w:sz w:val="21"/>
          <w:szCs w:val="21"/>
        </w:rPr>
        <w:t>As currently measured, most learning assessments have different methodologies for establishing a Minimum Proficiency level</w:t>
      </w:r>
      <w:r w:rsidR="00C65F2E">
        <w:rPr>
          <w:color w:val="4A4A4A"/>
          <w:sz w:val="21"/>
          <w:szCs w:val="21"/>
        </w:rPr>
        <w:t xml:space="preserve"> (</w:t>
      </w:r>
      <w:r w:rsidR="00437F83">
        <w:rPr>
          <w:color w:val="4A4A4A"/>
          <w:sz w:val="21"/>
          <w:szCs w:val="21"/>
        </w:rPr>
        <w:t>MPL</w:t>
      </w:r>
      <w:r w:rsidR="00C65F2E">
        <w:rPr>
          <w:color w:val="4A4A4A"/>
          <w:sz w:val="21"/>
          <w:szCs w:val="21"/>
        </w:rPr>
        <w:t>)</w:t>
      </w:r>
      <w:r>
        <w:rPr>
          <w:color w:val="4A4A4A"/>
          <w:sz w:val="21"/>
          <w:szCs w:val="21"/>
        </w:rPr>
        <w:t>. The UIS and GAM establish standardization guidelines to guide the choice of the minimum thresholds based on the frameworks of each assessment program. T</w:t>
      </w:r>
      <w:r w:rsidRPr="002A2C08">
        <w:rPr>
          <w:color w:val="4A4A4A"/>
          <w:sz w:val="21"/>
          <w:szCs w:val="21"/>
        </w:rPr>
        <w:t>he most critical decision is to choose in each assessment a level for international reporting that is consistent with the international definition of MPL. In the case of some assessment program</w:t>
      </w:r>
      <w:r w:rsidR="00A83A3B">
        <w:rPr>
          <w:color w:val="4A4A4A"/>
          <w:sz w:val="21"/>
          <w:szCs w:val="21"/>
        </w:rPr>
        <w:t>,</w:t>
      </w:r>
      <w:r w:rsidRPr="002A2C08">
        <w:rPr>
          <w:color w:val="4A4A4A"/>
          <w:sz w:val="21"/>
          <w:szCs w:val="21"/>
        </w:rPr>
        <w:t xml:space="preserve"> it means choosing a different level than the one the assessment program had been using for reporting results</w:t>
      </w:r>
      <w:r>
        <w:rPr>
          <w:color w:val="4A4A4A"/>
          <w:sz w:val="21"/>
          <w:szCs w:val="21"/>
        </w:rPr>
        <w:t>.</w:t>
      </w:r>
    </w:p>
    <w:p w14:paraId="0E565387" w14:textId="77777777" w:rsidR="002A2C08" w:rsidRDefault="002A2C08" w:rsidP="00FD31CB">
      <w:pPr>
        <w:pBdr>
          <w:top w:val="nil"/>
          <w:left w:val="nil"/>
          <w:bottom w:val="nil"/>
          <w:right w:val="nil"/>
          <w:between w:val="nil"/>
        </w:pBdr>
        <w:shd w:val="clear" w:color="auto" w:fill="FFFFFF"/>
        <w:spacing w:after="0"/>
        <w:rPr>
          <w:color w:val="4A4A4A"/>
          <w:sz w:val="21"/>
          <w:szCs w:val="21"/>
        </w:rPr>
      </w:pPr>
    </w:p>
    <w:p w14:paraId="000000F8"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4.f. Treatment of missing values (i) at country level and (ii) at regional level </w:t>
      </w:r>
      <w:r>
        <w:rPr>
          <w:color w:val="B4B4B4"/>
          <w:sz w:val="20"/>
        </w:rPr>
        <w:t>(IMPUTATION)</w:t>
      </w:r>
    </w:p>
    <w:p w14:paraId="000000F9" w14:textId="77777777" w:rsidR="009A7089" w:rsidRPr="00FD31CB" w:rsidRDefault="00E62590">
      <w:pPr>
        <w:pBdr>
          <w:top w:val="nil"/>
          <w:left w:val="nil"/>
          <w:bottom w:val="nil"/>
          <w:right w:val="nil"/>
          <w:between w:val="nil"/>
        </w:pBdr>
        <w:shd w:val="clear" w:color="auto" w:fill="FFFFFF"/>
        <w:spacing w:after="0"/>
        <w:rPr>
          <w:b/>
          <w:bCs/>
          <w:color w:val="4A4A4A"/>
          <w:sz w:val="21"/>
          <w:szCs w:val="21"/>
        </w:rPr>
      </w:pPr>
      <w:r w:rsidRPr="00FD31CB">
        <w:rPr>
          <w:b/>
          <w:bCs/>
          <w:color w:val="4A4A4A"/>
          <w:sz w:val="21"/>
          <w:szCs w:val="21"/>
        </w:rPr>
        <w:t>•</w:t>
      </w:r>
      <w:r w:rsidRPr="00FD31CB">
        <w:rPr>
          <w:b/>
          <w:bCs/>
          <w:color w:val="4A4A4A"/>
          <w:sz w:val="21"/>
          <w:szCs w:val="21"/>
        </w:rPr>
        <w:tab/>
        <w:t>At country level</w:t>
      </w:r>
    </w:p>
    <w:p w14:paraId="000000FA"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Missing values are not imputed.</w:t>
      </w:r>
    </w:p>
    <w:p w14:paraId="000000FB"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FC" w14:textId="77777777" w:rsidR="009A7089" w:rsidRPr="00FD31CB" w:rsidRDefault="00E62590">
      <w:pPr>
        <w:pBdr>
          <w:top w:val="nil"/>
          <w:left w:val="nil"/>
          <w:bottom w:val="nil"/>
          <w:right w:val="nil"/>
          <w:between w:val="nil"/>
        </w:pBdr>
        <w:shd w:val="clear" w:color="auto" w:fill="FFFFFF"/>
        <w:spacing w:after="0"/>
        <w:rPr>
          <w:b/>
          <w:bCs/>
          <w:color w:val="4A4A4A"/>
          <w:sz w:val="21"/>
          <w:szCs w:val="21"/>
        </w:rPr>
      </w:pPr>
      <w:r w:rsidRPr="00FD31CB">
        <w:rPr>
          <w:b/>
          <w:bCs/>
          <w:color w:val="4A4A4A"/>
          <w:sz w:val="21"/>
          <w:szCs w:val="21"/>
        </w:rPr>
        <w:t>•</w:t>
      </w:r>
      <w:r w:rsidRPr="00FD31CB">
        <w:rPr>
          <w:b/>
          <w:bCs/>
          <w:color w:val="4A4A4A"/>
          <w:sz w:val="21"/>
          <w:szCs w:val="21"/>
        </w:rPr>
        <w:tab/>
        <w:t>At regional and global levels</w:t>
      </w:r>
    </w:p>
    <w:p w14:paraId="000000FD"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Missing values are not imputed.</w:t>
      </w:r>
    </w:p>
    <w:p w14:paraId="000000FE"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0FF"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4.g. </w:t>
      </w:r>
      <w:proofErr w:type="gramStart"/>
      <w:r>
        <w:rPr>
          <w:color w:val="1C75BC"/>
          <w:sz w:val="26"/>
          <w:szCs w:val="26"/>
        </w:rPr>
        <w:t>Regional</w:t>
      </w:r>
      <w:proofErr w:type="gramEnd"/>
      <w:r>
        <w:rPr>
          <w:color w:val="1C75BC"/>
          <w:sz w:val="26"/>
          <w:szCs w:val="26"/>
        </w:rPr>
        <w:t xml:space="preserve"> aggregations </w:t>
      </w:r>
      <w:r>
        <w:rPr>
          <w:color w:val="B4B4B4"/>
          <w:sz w:val="20"/>
        </w:rPr>
        <w:t>(REG_AGG)</w:t>
      </w:r>
    </w:p>
    <w:p w14:paraId="00000100" w14:textId="6DEE9FFE"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Population weighted average</w:t>
      </w:r>
      <w:r w:rsidR="007A39C4">
        <w:rPr>
          <w:color w:val="4A4A4A"/>
          <w:sz w:val="21"/>
          <w:szCs w:val="21"/>
        </w:rPr>
        <w:t>s</w:t>
      </w:r>
      <w:r w:rsidR="0094229B">
        <w:rPr>
          <w:color w:val="4A4A4A"/>
          <w:sz w:val="21"/>
          <w:szCs w:val="21"/>
        </w:rPr>
        <w:t>.</w:t>
      </w:r>
    </w:p>
    <w:p w14:paraId="00000101"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102" w14:textId="7FB83FF2"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4.h. Methods and guidance available to countries for the compilation of the data at the national level </w:t>
      </w:r>
      <w:r>
        <w:rPr>
          <w:color w:val="B4B4B4"/>
          <w:sz w:val="20"/>
        </w:rPr>
        <w:t>(DOC_METHOD)</w:t>
      </w:r>
    </w:p>
    <w:p w14:paraId="00000103" w14:textId="5F592E3D" w:rsidR="009A7089" w:rsidRDefault="00F87B73">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UIS has elaborated guidance for the countries regarding the contents, the </w:t>
      </w:r>
      <w:proofErr w:type="gramStart"/>
      <w:r>
        <w:rPr>
          <w:color w:val="4A4A4A"/>
          <w:sz w:val="21"/>
          <w:szCs w:val="21"/>
        </w:rPr>
        <w:t>procedures</w:t>
      </w:r>
      <w:proofErr w:type="gramEnd"/>
      <w:r>
        <w:rPr>
          <w:color w:val="4A4A4A"/>
          <w:sz w:val="21"/>
          <w:szCs w:val="21"/>
        </w:rPr>
        <w:t xml:space="preserve"> and the reporting in the Global Alliance to monitor learning </w:t>
      </w:r>
      <w:hyperlink r:id="rId20" w:history="1">
        <w:r w:rsidRPr="00F87B73">
          <w:rPr>
            <w:rStyle w:val="Hyperlink"/>
            <w:sz w:val="21"/>
            <w:szCs w:val="21"/>
          </w:rPr>
          <w:t>microsite</w:t>
        </w:r>
      </w:hyperlink>
      <w:r>
        <w:rPr>
          <w:color w:val="4A4A4A"/>
          <w:sz w:val="21"/>
          <w:szCs w:val="21"/>
        </w:rPr>
        <w:t xml:space="preserve">. </w:t>
      </w:r>
    </w:p>
    <w:p w14:paraId="0746D8CF" w14:textId="77777777" w:rsidR="006C5D0F" w:rsidRDefault="006C5D0F">
      <w:pPr>
        <w:pBdr>
          <w:top w:val="nil"/>
          <w:left w:val="nil"/>
          <w:bottom w:val="nil"/>
          <w:right w:val="nil"/>
          <w:between w:val="nil"/>
        </w:pBdr>
        <w:shd w:val="clear" w:color="auto" w:fill="FFFFFF"/>
        <w:spacing w:after="0"/>
        <w:rPr>
          <w:color w:val="4A4A4A"/>
          <w:sz w:val="21"/>
          <w:szCs w:val="21"/>
        </w:rPr>
      </w:pPr>
    </w:p>
    <w:p w14:paraId="7D67A0ED" w14:textId="7684311C" w:rsidR="00F87B73" w:rsidRDefault="00F87B73" w:rsidP="00F87B73">
      <w:pPr>
        <w:pBdr>
          <w:top w:val="nil"/>
          <w:left w:val="nil"/>
          <w:bottom w:val="nil"/>
          <w:right w:val="nil"/>
          <w:between w:val="nil"/>
        </w:pBdr>
        <w:shd w:val="clear" w:color="auto" w:fill="FFFFFF"/>
        <w:spacing w:after="0"/>
        <w:rPr>
          <w:b/>
          <w:color w:val="4A4A4A"/>
          <w:sz w:val="21"/>
          <w:szCs w:val="21"/>
        </w:rPr>
      </w:pPr>
      <w:r>
        <w:rPr>
          <w:color w:val="4A4A4A"/>
          <w:sz w:val="21"/>
          <w:szCs w:val="21"/>
        </w:rPr>
        <w:t>In terms of selection of data sources</w:t>
      </w:r>
      <w:r w:rsidR="009D33B9">
        <w:rPr>
          <w:color w:val="4A4A4A"/>
          <w:sz w:val="21"/>
          <w:szCs w:val="21"/>
        </w:rPr>
        <w:t>,</w:t>
      </w:r>
      <w:r>
        <w:rPr>
          <w:color w:val="4A4A4A"/>
          <w:sz w:val="21"/>
          <w:szCs w:val="21"/>
        </w:rPr>
        <w:t xml:space="preserve"> the </w:t>
      </w:r>
      <w:hyperlink r:id="rId21" w:history="1">
        <w:r w:rsidRPr="00F87B73">
          <w:rPr>
            <w:rStyle w:val="Hyperlink"/>
            <w:sz w:val="21"/>
            <w:szCs w:val="21"/>
          </w:rPr>
          <w:t>Protocol for Reporting on SDG Global Indicator 4.1.1</w:t>
        </w:r>
      </w:hyperlink>
      <w:r>
        <w:rPr>
          <w:color w:val="4A4A4A"/>
          <w:sz w:val="21"/>
          <w:szCs w:val="21"/>
        </w:rPr>
        <w:t xml:space="preserve"> is guiding the countries about the selection of the assessment program. </w:t>
      </w:r>
    </w:p>
    <w:p w14:paraId="00000104"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105"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4.i. Quality management </w:t>
      </w:r>
      <w:r>
        <w:rPr>
          <w:color w:val="B4B4B4"/>
          <w:sz w:val="20"/>
        </w:rPr>
        <w:t>(QUALITY_MGMNT)</w:t>
      </w:r>
    </w:p>
    <w:p w14:paraId="00000109" w14:textId="34B1BA87" w:rsidR="009A7089" w:rsidRDefault="008E2458" w:rsidP="00D113E1">
      <w:pPr>
        <w:pBdr>
          <w:top w:val="nil"/>
          <w:left w:val="nil"/>
          <w:bottom w:val="nil"/>
          <w:right w:val="nil"/>
          <w:between w:val="nil"/>
        </w:pBdr>
        <w:shd w:val="clear" w:color="auto" w:fill="FFFFFF"/>
        <w:spacing w:after="0"/>
      </w:pPr>
      <w:r>
        <w:rPr>
          <w:color w:val="4A4A4A"/>
          <w:sz w:val="21"/>
          <w:szCs w:val="21"/>
        </w:rPr>
        <w:lastRenderedPageBreak/>
        <w:t>T</w:t>
      </w:r>
      <w:r w:rsidRPr="00102D67">
        <w:rPr>
          <w:color w:val="4A4A4A"/>
          <w:sz w:val="21"/>
          <w:szCs w:val="21"/>
        </w:rPr>
        <w:t xml:space="preserve">he UIS maintains a global database on learning assessments in basic education. </w:t>
      </w:r>
      <w:r>
        <w:rPr>
          <w:color w:val="4A4A4A"/>
          <w:sz w:val="21"/>
          <w:szCs w:val="21"/>
        </w:rPr>
        <w:t>For transparency purposes, t</w:t>
      </w:r>
      <w:r w:rsidRPr="00102D67">
        <w:rPr>
          <w:color w:val="4A4A4A"/>
          <w:sz w:val="21"/>
          <w:szCs w:val="21"/>
        </w:rPr>
        <w:t>he inclusion</w:t>
      </w:r>
    </w:p>
    <w:p w14:paraId="18BC9ED4" w14:textId="7E5D2EE1" w:rsidR="009A7089" w:rsidRDefault="008E2458" w:rsidP="00D113E1">
      <w:pPr>
        <w:pBdr>
          <w:top w:val="nil"/>
          <w:left w:val="nil"/>
          <w:bottom w:val="nil"/>
          <w:right w:val="nil"/>
          <w:between w:val="nil"/>
        </w:pBdr>
        <w:shd w:val="clear" w:color="auto" w:fill="FFFFFF"/>
        <w:spacing w:after="0"/>
      </w:pPr>
      <w:r w:rsidRPr="0053304A">
        <w:rPr>
          <w:color w:val="4A4A4A"/>
          <w:sz w:val="21"/>
          <w:szCs w:val="21"/>
        </w:rPr>
        <w:t xml:space="preserve"> of a data point in the database is completed by following a protocol and is reviewed by UIS technical focal points to ensure consistency and overall data quality, based on objective criteria to ensure that only the most recent and reliable information are included in the databas</w:t>
      </w:r>
      <w:r w:rsidR="00D113E1" w:rsidRPr="0053304A">
        <w:rPr>
          <w:color w:val="4A4A4A"/>
          <w:sz w:val="21"/>
          <w:szCs w:val="21"/>
        </w:rPr>
        <w:t>e.</w:t>
      </w:r>
    </w:p>
    <w:p w14:paraId="214D95CD" w14:textId="77777777" w:rsidR="00D113E1" w:rsidRPr="0053304A" w:rsidRDefault="00D113E1">
      <w:pPr>
        <w:pBdr>
          <w:top w:val="nil"/>
          <w:left w:val="nil"/>
          <w:bottom w:val="nil"/>
          <w:right w:val="nil"/>
          <w:between w:val="nil"/>
        </w:pBdr>
        <w:shd w:val="clear" w:color="auto" w:fill="FFFFFF"/>
        <w:spacing w:after="0"/>
        <w:rPr>
          <w:color w:val="4A4A4A"/>
          <w:sz w:val="21"/>
        </w:rPr>
      </w:pPr>
    </w:p>
    <w:p w14:paraId="0000010A"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4.j Quality assurance </w:t>
      </w:r>
      <w:r>
        <w:rPr>
          <w:color w:val="B4B4B4"/>
          <w:sz w:val="20"/>
        </w:rPr>
        <w:t>(QUALITY_ASSURE)</w:t>
      </w:r>
    </w:p>
    <w:p w14:paraId="0000010B" w14:textId="07EC4DFF" w:rsidR="009A7089" w:rsidRDefault="001273CD">
      <w:pPr>
        <w:pBdr>
          <w:top w:val="nil"/>
          <w:left w:val="nil"/>
          <w:bottom w:val="nil"/>
          <w:right w:val="nil"/>
          <w:between w:val="nil"/>
        </w:pBdr>
        <w:shd w:val="clear" w:color="auto" w:fill="FFFFFF"/>
        <w:spacing w:after="0"/>
        <w:rPr>
          <w:color w:val="4A4A4A"/>
          <w:sz w:val="21"/>
          <w:szCs w:val="21"/>
        </w:rPr>
      </w:pPr>
      <w:r>
        <w:rPr>
          <w:color w:val="4A4A4A"/>
          <w:sz w:val="21"/>
          <w:szCs w:val="21"/>
        </w:rPr>
        <w:t xml:space="preserve">Information </w:t>
      </w:r>
      <w:r w:rsidR="008A6F9C">
        <w:rPr>
          <w:color w:val="4A4A4A"/>
          <w:sz w:val="21"/>
          <w:szCs w:val="21"/>
        </w:rPr>
        <w:t>produced by the cross</w:t>
      </w:r>
      <w:r w:rsidR="009D33B9">
        <w:rPr>
          <w:color w:val="4A4A4A"/>
          <w:sz w:val="21"/>
          <w:szCs w:val="21"/>
        </w:rPr>
        <w:t>-</w:t>
      </w:r>
      <w:r w:rsidR="008A6F9C">
        <w:rPr>
          <w:color w:val="4A4A4A"/>
          <w:sz w:val="21"/>
          <w:szCs w:val="21"/>
        </w:rPr>
        <w:t xml:space="preserve">national and national assessment programs are described in their manuals. </w:t>
      </w:r>
    </w:p>
    <w:p w14:paraId="0000010C"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10D" w14:textId="77777777" w:rsidR="009A7089" w:rsidRDefault="00E62590">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4.k Quality assessment </w:t>
      </w:r>
      <w:r>
        <w:rPr>
          <w:color w:val="B4B4B4"/>
          <w:sz w:val="20"/>
        </w:rPr>
        <w:t>(QUALITY_ASSMNT)</w:t>
      </w:r>
    </w:p>
    <w:p w14:paraId="00000110" w14:textId="66DA5558" w:rsidR="009A7089" w:rsidRDefault="00A33020" w:rsidP="00A33020">
      <w:pPr>
        <w:pBdr>
          <w:top w:val="nil"/>
          <w:left w:val="nil"/>
          <w:bottom w:val="nil"/>
          <w:right w:val="nil"/>
          <w:between w:val="nil"/>
        </w:pBdr>
        <w:shd w:val="clear" w:color="auto" w:fill="FFFFFF"/>
        <w:spacing w:after="0"/>
        <w:rPr>
          <w:color w:val="4A4A4A"/>
          <w:sz w:val="21"/>
          <w:szCs w:val="21"/>
        </w:rPr>
      </w:pPr>
      <w:r>
        <w:rPr>
          <w:color w:val="4A4A4A"/>
          <w:sz w:val="21"/>
          <w:szCs w:val="21"/>
        </w:rPr>
        <w:t>The criteria to ensure the quality and standardization of the data are: the data sources must include adequate documentation; data values should be representative at the national population level and should otherwise be included in a footnote; data values are based on a sufficiently large sample; the learning assessment framework covers the minimum set of content in the global content framework and the proficiency levels are aligned with the minimum proficiency level (MPL) as defined in the global proficiency framework; and the data are plausible and based on trends and consistency with previously published or reported estimates for the indicator.</w:t>
      </w:r>
    </w:p>
    <w:p w14:paraId="61090BB3" w14:textId="77777777" w:rsidR="00A33020" w:rsidRDefault="00A33020">
      <w:pPr>
        <w:pBdr>
          <w:top w:val="nil"/>
          <w:left w:val="nil"/>
          <w:bottom w:val="nil"/>
          <w:right w:val="nil"/>
          <w:between w:val="nil"/>
        </w:pBdr>
        <w:shd w:val="clear" w:color="auto" w:fill="FFFFFF"/>
        <w:spacing w:after="0"/>
        <w:rPr>
          <w:color w:val="4A4A4A"/>
          <w:sz w:val="21"/>
          <w:szCs w:val="21"/>
        </w:rPr>
      </w:pPr>
    </w:p>
    <w:p w14:paraId="00000111" w14:textId="77777777" w:rsidR="009A7089" w:rsidRDefault="00E62590">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5. Data availability and disaggregation </w:t>
      </w:r>
      <w:r>
        <w:rPr>
          <w:color w:val="B4B4B4"/>
          <w:sz w:val="20"/>
        </w:rPr>
        <w:t>(COVERAGE)</w:t>
      </w:r>
    </w:p>
    <w:p w14:paraId="299F29B5" w14:textId="77777777" w:rsidR="002A2C08" w:rsidRPr="00FD31CB" w:rsidRDefault="00E62590">
      <w:pPr>
        <w:shd w:val="clear" w:color="auto" w:fill="FFFFFF"/>
        <w:spacing w:after="0"/>
        <w:rPr>
          <w:b/>
          <w:bCs/>
          <w:color w:val="4A4A4A"/>
          <w:sz w:val="21"/>
          <w:szCs w:val="21"/>
        </w:rPr>
      </w:pPr>
      <w:r w:rsidRPr="00FD31CB">
        <w:rPr>
          <w:b/>
          <w:bCs/>
          <w:color w:val="4A4A4A"/>
          <w:sz w:val="21"/>
          <w:szCs w:val="21"/>
        </w:rPr>
        <w:t>Data availability:</w:t>
      </w:r>
      <w:r w:rsidR="00102D67" w:rsidRPr="00FD31CB">
        <w:rPr>
          <w:b/>
          <w:bCs/>
          <w:color w:val="4A4A4A"/>
          <w:sz w:val="21"/>
          <w:szCs w:val="21"/>
        </w:rPr>
        <w:t xml:space="preserve"> </w:t>
      </w:r>
    </w:p>
    <w:p w14:paraId="00000112" w14:textId="6473060D" w:rsidR="009A7089" w:rsidRDefault="000E668A">
      <w:pPr>
        <w:shd w:val="clear" w:color="auto" w:fill="FFFFFF"/>
        <w:spacing w:after="0"/>
        <w:rPr>
          <w:color w:val="4A4A4A"/>
          <w:sz w:val="21"/>
          <w:szCs w:val="21"/>
        </w:rPr>
      </w:pPr>
      <w:r>
        <w:rPr>
          <w:color w:val="4A4A4A"/>
          <w:sz w:val="21"/>
          <w:szCs w:val="21"/>
        </w:rPr>
        <w:t>D</w:t>
      </w:r>
      <w:r w:rsidR="00102D67">
        <w:rPr>
          <w:color w:val="4A4A4A"/>
          <w:sz w:val="21"/>
          <w:szCs w:val="21"/>
        </w:rPr>
        <w:t>ata available at the national level.</w:t>
      </w:r>
    </w:p>
    <w:p w14:paraId="00000114" w14:textId="77777777" w:rsidR="009A7089" w:rsidRDefault="009A7089">
      <w:pPr>
        <w:pBdr>
          <w:top w:val="nil"/>
          <w:left w:val="nil"/>
          <w:bottom w:val="nil"/>
          <w:right w:val="nil"/>
          <w:between w:val="nil"/>
        </w:pBdr>
        <w:shd w:val="clear" w:color="auto" w:fill="FFFFFF"/>
        <w:spacing w:after="0"/>
        <w:rPr>
          <w:color w:val="4A4A4A"/>
          <w:sz w:val="21"/>
          <w:szCs w:val="21"/>
          <w:highlight w:val="cyan"/>
        </w:rPr>
      </w:pPr>
    </w:p>
    <w:p w14:paraId="46B2ED6A" w14:textId="77777777" w:rsidR="002A2C08" w:rsidRPr="00FD31CB" w:rsidRDefault="00E62590">
      <w:pPr>
        <w:pBdr>
          <w:top w:val="nil"/>
          <w:left w:val="nil"/>
          <w:bottom w:val="nil"/>
          <w:right w:val="nil"/>
          <w:between w:val="nil"/>
        </w:pBdr>
        <w:shd w:val="clear" w:color="auto" w:fill="FFFFFF"/>
        <w:spacing w:after="0"/>
        <w:rPr>
          <w:b/>
          <w:bCs/>
          <w:color w:val="4A4A4A"/>
          <w:sz w:val="21"/>
          <w:szCs w:val="21"/>
        </w:rPr>
      </w:pPr>
      <w:r w:rsidRPr="00FD31CB">
        <w:rPr>
          <w:b/>
          <w:bCs/>
          <w:color w:val="4A4A4A"/>
          <w:sz w:val="21"/>
          <w:szCs w:val="21"/>
        </w:rPr>
        <w:t>Time series:</w:t>
      </w:r>
      <w:r w:rsidR="00102D67" w:rsidRPr="00FD31CB">
        <w:rPr>
          <w:b/>
          <w:bCs/>
          <w:color w:val="4A4A4A"/>
          <w:sz w:val="21"/>
          <w:szCs w:val="21"/>
        </w:rPr>
        <w:t xml:space="preserve"> </w:t>
      </w:r>
    </w:p>
    <w:p w14:paraId="00000115" w14:textId="388AFA59" w:rsidR="009A7089" w:rsidRPr="00225D32" w:rsidRDefault="00102D67">
      <w:pPr>
        <w:pBdr>
          <w:top w:val="nil"/>
          <w:left w:val="nil"/>
          <w:bottom w:val="nil"/>
          <w:right w:val="nil"/>
          <w:between w:val="nil"/>
        </w:pBdr>
        <w:shd w:val="clear" w:color="auto" w:fill="FFFFFF"/>
        <w:spacing w:after="0"/>
        <w:rPr>
          <w:color w:val="4A4A4A"/>
          <w:sz w:val="21"/>
          <w:szCs w:val="21"/>
        </w:rPr>
      </w:pPr>
      <w:r w:rsidRPr="00102D67">
        <w:rPr>
          <w:color w:val="4A4A4A"/>
          <w:sz w:val="21"/>
          <w:szCs w:val="21"/>
        </w:rPr>
        <w:t>Data available since 2000.</w:t>
      </w:r>
    </w:p>
    <w:p w14:paraId="00000116" w14:textId="77777777" w:rsidR="009A7089" w:rsidRDefault="009A7089">
      <w:pPr>
        <w:pBdr>
          <w:top w:val="nil"/>
          <w:left w:val="nil"/>
          <w:bottom w:val="nil"/>
          <w:right w:val="nil"/>
          <w:between w:val="nil"/>
        </w:pBdr>
        <w:shd w:val="clear" w:color="auto" w:fill="FFFFFF"/>
        <w:spacing w:after="0"/>
        <w:rPr>
          <w:color w:val="4A4A4A"/>
          <w:sz w:val="21"/>
          <w:szCs w:val="21"/>
          <w:highlight w:val="cyan"/>
        </w:rPr>
      </w:pPr>
    </w:p>
    <w:p w14:paraId="00000117" w14:textId="77777777" w:rsidR="009A7089" w:rsidRPr="00FD31CB" w:rsidRDefault="00E62590">
      <w:pPr>
        <w:shd w:val="clear" w:color="auto" w:fill="FFFFFF"/>
        <w:spacing w:after="0"/>
        <w:rPr>
          <w:b/>
          <w:bCs/>
          <w:color w:val="4A4A4A"/>
          <w:sz w:val="21"/>
          <w:szCs w:val="21"/>
        </w:rPr>
      </w:pPr>
      <w:r w:rsidRPr="00FD31CB">
        <w:rPr>
          <w:b/>
          <w:bCs/>
          <w:color w:val="4A4A4A"/>
          <w:sz w:val="21"/>
          <w:szCs w:val="21"/>
        </w:rPr>
        <w:t>Disaggregation:</w:t>
      </w:r>
    </w:p>
    <w:p w14:paraId="00000118" w14:textId="505443FA" w:rsidR="009A7089" w:rsidRDefault="00E62590" w:rsidP="00C06AEB">
      <w:pPr>
        <w:spacing w:after="0"/>
        <w:rPr>
          <w:color w:val="4A4A4A"/>
          <w:sz w:val="21"/>
          <w:szCs w:val="21"/>
        </w:rPr>
      </w:pPr>
      <w:r>
        <w:rPr>
          <w:color w:val="4A4A4A"/>
          <w:sz w:val="21"/>
          <w:szCs w:val="21"/>
        </w:rPr>
        <w:t xml:space="preserve">Indicator is published disaggregated by </w:t>
      </w:r>
      <w:r w:rsidR="00A33020">
        <w:rPr>
          <w:color w:val="4A4A4A"/>
          <w:sz w:val="21"/>
          <w:szCs w:val="21"/>
        </w:rPr>
        <w:t>sex and completion status (Global Indicator 4.1.2)</w:t>
      </w:r>
      <w:r>
        <w:rPr>
          <w:color w:val="4A4A4A"/>
          <w:sz w:val="21"/>
          <w:szCs w:val="21"/>
        </w:rPr>
        <w:t xml:space="preserve">. Other disaggregation such as location, socio-economic status, immigrant status, ethnicity and language of the test at home are based on data produced by international organizations administering cross learning assessment detailed in the </w:t>
      </w:r>
      <w:hyperlink r:id="rId22">
        <w:r>
          <w:rPr>
            <w:color w:val="0000FF"/>
            <w:sz w:val="21"/>
            <w:szCs w:val="21"/>
            <w:u w:val="single"/>
          </w:rPr>
          <w:t>expanded metadata document</w:t>
        </w:r>
      </w:hyperlink>
      <w:r>
        <w:rPr>
          <w:color w:val="4A4A4A"/>
          <w:sz w:val="21"/>
          <w:szCs w:val="21"/>
        </w:rPr>
        <w:t xml:space="preserve"> and validated by countries.  Parity indexes are estimated in the reporting of Indicator 4.5.1.</w:t>
      </w:r>
    </w:p>
    <w:p w14:paraId="6086F2F9" w14:textId="77777777" w:rsidR="00C06AEB" w:rsidRDefault="00C06AEB" w:rsidP="0053304A">
      <w:pPr>
        <w:spacing w:after="0"/>
        <w:rPr>
          <w:sz w:val="21"/>
          <w:szCs w:val="21"/>
        </w:rPr>
      </w:pPr>
    </w:p>
    <w:p w14:paraId="0000011B" w14:textId="553CC390" w:rsidR="009A7089" w:rsidRDefault="00247C72">
      <w:pPr>
        <w:pBdr>
          <w:top w:val="nil"/>
          <w:left w:val="nil"/>
          <w:bottom w:val="single" w:sz="12" w:space="4" w:color="DDDDDD"/>
          <w:right w:val="nil"/>
          <w:between w:val="nil"/>
        </w:pBdr>
        <w:shd w:val="clear" w:color="auto" w:fill="FFFFFF"/>
        <w:spacing w:after="100"/>
        <w:rPr>
          <w:color w:val="1C75BC"/>
          <w:sz w:val="32"/>
          <w:szCs w:val="32"/>
        </w:rPr>
      </w:pPr>
      <w:sdt>
        <w:sdtPr>
          <w:tag w:val="goog_rdk_109"/>
          <w:id w:val="-471369751"/>
        </w:sdtPr>
        <w:sdtEndPr/>
        <w:sdtContent>
          <w:sdt>
            <w:sdtPr>
              <w:tag w:val="goog_rdk_108"/>
              <w:id w:val="939029520"/>
            </w:sdtPr>
            <w:sdtEndPr/>
            <w:sdtContent/>
          </w:sdt>
        </w:sdtContent>
      </w:sdt>
      <w:sdt>
        <w:sdtPr>
          <w:tag w:val="goog_rdk_111"/>
          <w:id w:val="2027747406"/>
        </w:sdtPr>
        <w:sdtEndPr/>
        <w:sdtContent>
          <w:sdt>
            <w:sdtPr>
              <w:tag w:val="goog_rdk_110"/>
              <w:id w:val="-2040652406"/>
            </w:sdtPr>
            <w:sdtEndPr/>
            <w:sdtContent/>
          </w:sdt>
        </w:sdtContent>
      </w:sdt>
      <w:r w:rsidR="00E62590">
        <w:rPr>
          <w:color w:val="1C75BC"/>
          <w:sz w:val="32"/>
          <w:szCs w:val="32"/>
        </w:rPr>
        <w:t xml:space="preserve">6. Comparability / deviation from international standards </w:t>
      </w:r>
      <w:r>
        <w:rPr>
          <w:color w:val="B4B4B4"/>
          <w:sz w:val="20"/>
        </w:rPr>
        <w:t>(COMPARABILITY)</w:t>
      </w:r>
    </w:p>
    <w:p w14:paraId="0000011C" w14:textId="77777777" w:rsidR="009A7089" w:rsidRPr="00FD31CB" w:rsidRDefault="00E62590">
      <w:pPr>
        <w:pBdr>
          <w:top w:val="nil"/>
          <w:left w:val="nil"/>
          <w:bottom w:val="nil"/>
          <w:right w:val="nil"/>
          <w:between w:val="nil"/>
        </w:pBdr>
        <w:shd w:val="clear" w:color="auto" w:fill="FFFFFF"/>
        <w:spacing w:after="0"/>
        <w:rPr>
          <w:b/>
          <w:bCs/>
          <w:color w:val="4A4A4A"/>
          <w:sz w:val="21"/>
          <w:szCs w:val="21"/>
        </w:rPr>
      </w:pPr>
      <w:r w:rsidRPr="00FD31CB">
        <w:rPr>
          <w:b/>
          <w:bCs/>
          <w:color w:val="4A4A4A"/>
          <w:sz w:val="21"/>
          <w:szCs w:val="21"/>
        </w:rPr>
        <w:t>Sources of discrepancies:</w:t>
      </w:r>
    </w:p>
    <w:p w14:paraId="0000011D"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Not yet applicable. Data are reported at the national level only.</w:t>
      </w:r>
    </w:p>
    <w:p w14:paraId="0000011E"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11F" w14:textId="77777777" w:rsidR="009A7089" w:rsidRDefault="00E62590">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7. References and Documentation </w:t>
      </w:r>
      <w:r>
        <w:rPr>
          <w:color w:val="B4B4B4"/>
          <w:sz w:val="20"/>
        </w:rPr>
        <w:t>(OTHER_DOC)</w:t>
      </w:r>
    </w:p>
    <w:p w14:paraId="00000120"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Minimum Proficiency Levels</w:t>
      </w:r>
    </w:p>
    <w:p w14:paraId="00000121" w14:textId="77777777" w:rsidR="009A7089" w:rsidRDefault="00247C72">
      <w:pPr>
        <w:pBdr>
          <w:top w:val="nil"/>
          <w:left w:val="nil"/>
          <w:bottom w:val="nil"/>
          <w:right w:val="nil"/>
          <w:between w:val="nil"/>
        </w:pBdr>
        <w:shd w:val="clear" w:color="auto" w:fill="FFFFFF"/>
        <w:spacing w:after="0"/>
        <w:rPr>
          <w:color w:val="4A4A4A"/>
          <w:sz w:val="21"/>
          <w:szCs w:val="21"/>
        </w:rPr>
      </w:pPr>
      <w:hyperlink r:id="rId23">
        <w:r w:rsidR="00E62590">
          <w:rPr>
            <w:color w:val="0000FF"/>
            <w:sz w:val="21"/>
            <w:szCs w:val="21"/>
            <w:u w:val="single"/>
          </w:rPr>
          <w:t>http://gaml.uis.unesco.org/wp-content/uploads/sites/2/2019/07/MPLs_revised_doc_20190506_v2.pdf</w:t>
        </w:r>
      </w:hyperlink>
    </w:p>
    <w:p w14:paraId="00000122"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123" w14:textId="77777777" w:rsidR="009A7089" w:rsidRDefault="00E62590">
      <w:pPr>
        <w:pBdr>
          <w:top w:val="nil"/>
          <w:left w:val="nil"/>
          <w:bottom w:val="nil"/>
          <w:right w:val="nil"/>
          <w:between w:val="nil"/>
        </w:pBdr>
        <w:shd w:val="clear" w:color="auto" w:fill="FFFFFF"/>
        <w:spacing w:after="0"/>
        <w:rPr>
          <w:color w:val="4A4A4A"/>
          <w:sz w:val="21"/>
          <w:szCs w:val="21"/>
        </w:rPr>
      </w:pPr>
      <w:r>
        <w:rPr>
          <w:color w:val="4A4A4A"/>
          <w:sz w:val="21"/>
          <w:szCs w:val="21"/>
        </w:rPr>
        <w:t>Costs and Benefits of Different Approaches to Measuring the Learning Proficiency of Students (SDG Indicator 4.1.1)</w:t>
      </w:r>
    </w:p>
    <w:p w14:paraId="00000124" w14:textId="77777777" w:rsidR="009A7089" w:rsidRDefault="00247C72">
      <w:pPr>
        <w:pBdr>
          <w:top w:val="nil"/>
          <w:left w:val="nil"/>
          <w:bottom w:val="nil"/>
          <w:right w:val="nil"/>
          <w:between w:val="nil"/>
        </w:pBdr>
        <w:shd w:val="clear" w:color="auto" w:fill="FFFFFF"/>
        <w:spacing w:after="0"/>
        <w:rPr>
          <w:color w:val="4A4A4A"/>
          <w:sz w:val="21"/>
          <w:szCs w:val="21"/>
        </w:rPr>
      </w:pPr>
      <w:hyperlink r:id="rId24">
        <w:r w:rsidR="00E62590">
          <w:rPr>
            <w:color w:val="0000FF"/>
            <w:sz w:val="21"/>
            <w:szCs w:val="21"/>
            <w:u w:val="single"/>
          </w:rPr>
          <w:t>http://uis.unesco.org/sites/default/files/documents/ip53-costs-benefits-approaches-measuring-proficiency-2019-en.pdf</w:t>
        </w:r>
      </w:hyperlink>
    </w:p>
    <w:p w14:paraId="00000125" w14:textId="77777777" w:rsidR="009A7089" w:rsidRDefault="009A7089">
      <w:pPr>
        <w:pBdr>
          <w:top w:val="nil"/>
          <w:left w:val="nil"/>
          <w:bottom w:val="nil"/>
          <w:right w:val="nil"/>
          <w:between w:val="nil"/>
        </w:pBdr>
        <w:shd w:val="clear" w:color="auto" w:fill="FFFFFF"/>
        <w:spacing w:after="0"/>
        <w:rPr>
          <w:color w:val="4A4A4A"/>
          <w:sz w:val="21"/>
          <w:szCs w:val="21"/>
        </w:rPr>
      </w:pPr>
    </w:p>
    <w:p w14:paraId="00000126" w14:textId="77777777" w:rsidR="009A7089" w:rsidRDefault="00E62590">
      <w:pPr>
        <w:pBdr>
          <w:top w:val="nil"/>
          <w:left w:val="nil"/>
          <w:bottom w:val="nil"/>
          <w:right w:val="nil"/>
          <w:between w:val="nil"/>
        </w:pBdr>
        <w:shd w:val="clear" w:color="auto" w:fill="FFFFFF"/>
        <w:spacing w:after="0"/>
        <w:rPr>
          <w:b/>
          <w:color w:val="4A4A4A"/>
          <w:sz w:val="21"/>
          <w:szCs w:val="21"/>
        </w:rPr>
      </w:pPr>
      <w:r>
        <w:rPr>
          <w:color w:val="4A4A4A"/>
          <w:sz w:val="21"/>
          <w:szCs w:val="21"/>
        </w:rPr>
        <w:t>Protocol for Reporting on SDG Global Indicator 4.1.1</w:t>
      </w:r>
    </w:p>
    <w:p w14:paraId="00000127" w14:textId="77777777" w:rsidR="009A7089" w:rsidRDefault="00247C72">
      <w:pPr>
        <w:shd w:val="clear" w:color="auto" w:fill="FFFFFF"/>
        <w:spacing w:after="0"/>
        <w:rPr>
          <w:color w:val="4A4A4A"/>
          <w:sz w:val="21"/>
          <w:szCs w:val="21"/>
        </w:rPr>
      </w:pPr>
      <w:hyperlink r:id="rId25">
        <w:r w:rsidR="00E62590">
          <w:rPr>
            <w:color w:val="0000FF"/>
            <w:sz w:val="21"/>
            <w:szCs w:val="21"/>
            <w:u w:val="single"/>
          </w:rPr>
          <w:t>http://gaml.uis.unesco.org/wp-content/uploads/sites/2/2019/05/GAML6-WD-2-Protocol-for-reporting-4.1.1_v1.pdf</w:t>
        </w:r>
      </w:hyperlink>
    </w:p>
    <w:p w14:paraId="00000128" w14:textId="77777777" w:rsidR="009A7089" w:rsidRDefault="009A7089">
      <w:pPr>
        <w:shd w:val="clear" w:color="auto" w:fill="FFFFFF"/>
        <w:spacing w:after="0"/>
        <w:rPr>
          <w:color w:val="4A4A4A"/>
          <w:sz w:val="21"/>
          <w:szCs w:val="21"/>
        </w:rPr>
      </w:pPr>
    </w:p>
    <w:p w14:paraId="00000129" w14:textId="77777777" w:rsidR="009A7089" w:rsidRDefault="00E62590">
      <w:pPr>
        <w:shd w:val="clear" w:color="auto" w:fill="FFFFFF"/>
        <w:spacing w:after="0"/>
        <w:rPr>
          <w:color w:val="4A4A4A"/>
          <w:sz w:val="21"/>
          <w:szCs w:val="21"/>
        </w:rPr>
      </w:pPr>
      <w:r>
        <w:rPr>
          <w:color w:val="4A4A4A"/>
          <w:sz w:val="21"/>
          <w:szCs w:val="21"/>
        </w:rPr>
        <w:t>Global Proficiency Framework for Reading and Mathematics - Grade 2 to 6</w:t>
      </w:r>
    </w:p>
    <w:p w14:paraId="0000012C" w14:textId="232D8775" w:rsidR="009A7089" w:rsidRDefault="00247C72" w:rsidP="00FD31CB">
      <w:pPr>
        <w:rPr>
          <w:sz w:val="21"/>
          <w:szCs w:val="21"/>
        </w:rPr>
      </w:pPr>
      <w:hyperlink r:id="rId26">
        <w:r w:rsidR="00E62590">
          <w:rPr>
            <w:color w:val="0000FF"/>
            <w:sz w:val="21"/>
            <w:szCs w:val="21"/>
            <w:u w:val="single"/>
          </w:rPr>
          <w:t>http://gaml.uis.unesco.org/wp-content/uploads/sites/2/2019/05/Global-Proficiency-Framework-18Oct2019_KD.pdf</w:t>
        </w:r>
      </w:hyperlink>
    </w:p>
    <w:sectPr w:rsidR="009A7089">
      <w:headerReference w:type="default" r:id="rId27"/>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8E6A6" w14:textId="77777777" w:rsidR="009F1856" w:rsidRDefault="009F1856">
      <w:pPr>
        <w:spacing w:after="0" w:line="240" w:lineRule="auto"/>
      </w:pPr>
      <w:r>
        <w:separator/>
      </w:r>
    </w:p>
  </w:endnote>
  <w:endnote w:type="continuationSeparator" w:id="0">
    <w:p w14:paraId="43B35569" w14:textId="77777777" w:rsidR="009F1856" w:rsidRDefault="009F1856">
      <w:pPr>
        <w:spacing w:after="0" w:line="240" w:lineRule="auto"/>
      </w:pPr>
      <w:r>
        <w:continuationSeparator/>
      </w:r>
    </w:p>
  </w:endnote>
  <w:endnote w:type="continuationNotice" w:id="1">
    <w:p w14:paraId="288412C7" w14:textId="77777777" w:rsidR="009F1856" w:rsidRDefault="009F1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DA570" w14:textId="77777777" w:rsidR="009F1856" w:rsidRDefault="009F1856">
      <w:pPr>
        <w:spacing w:after="0" w:line="240" w:lineRule="auto"/>
      </w:pPr>
      <w:r>
        <w:separator/>
      </w:r>
    </w:p>
  </w:footnote>
  <w:footnote w:type="continuationSeparator" w:id="0">
    <w:p w14:paraId="188BDA5F" w14:textId="77777777" w:rsidR="009F1856" w:rsidRDefault="009F1856">
      <w:pPr>
        <w:spacing w:after="0" w:line="240" w:lineRule="auto"/>
      </w:pPr>
      <w:r>
        <w:continuationSeparator/>
      </w:r>
    </w:p>
  </w:footnote>
  <w:footnote w:type="continuationNotice" w:id="1">
    <w:p w14:paraId="1ED3FCFB" w14:textId="77777777" w:rsidR="009F1856" w:rsidRDefault="009F1856">
      <w:pPr>
        <w:spacing w:after="0" w:line="240" w:lineRule="auto"/>
      </w:pPr>
    </w:p>
  </w:footnote>
  <w:footnote w:id="2">
    <w:p w14:paraId="0000012D" w14:textId="77777777" w:rsidR="009A7089" w:rsidRPr="00110E5E" w:rsidRDefault="00E62590">
      <w:pPr>
        <w:pBdr>
          <w:top w:val="nil"/>
          <w:left w:val="nil"/>
          <w:bottom w:val="nil"/>
          <w:right w:val="nil"/>
          <w:between w:val="nil"/>
        </w:pBdr>
        <w:spacing w:after="0" w:line="240" w:lineRule="auto"/>
        <w:jc w:val="both"/>
        <w:rPr>
          <w:color w:val="4A4A4A"/>
          <w:sz w:val="20"/>
        </w:rPr>
      </w:pPr>
      <w:r w:rsidRPr="00110E5E">
        <w:rPr>
          <w:rStyle w:val="FootnoteReference"/>
          <w:color w:val="4A4A4A"/>
        </w:rPr>
        <w:footnoteRef/>
      </w:r>
      <w:r w:rsidRPr="00110E5E">
        <w:rPr>
          <w:color w:val="4A4A4A"/>
          <w:sz w:val="20"/>
        </w:rPr>
        <w:t xml:space="preserve"> PLD: Performance level descriptors are descriptions of the performance levels to express the knowledge and skills required to achieve each performance level, by domain.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F" w14:textId="7E71DA5D" w:rsidR="009A7089" w:rsidRDefault="00E62590">
    <w:pPr>
      <w:pBdr>
        <w:top w:val="nil"/>
        <w:left w:val="nil"/>
        <w:bottom w:val="nil"/>
        <w:right w:val="nil"/>
        <w:between w:val="nil"/>
      </w:pBdr>
      <w:tabs>
        <w:tab w:val="center" w:pos="4513"/>
        <w:tab w:val="right" w:pos="9026"/>
      </w:tabs>
      <w:spacing w:after="0" w:line="240" w:lineRule="auto"/>
      <w:jc w:val="right"/>
      <w:rPr>
        <w:color w:val="404040"/>
        <w:sz w:val="18"/>
        <w:szCs w:val="18"/>
      </w:rPr>
    </w:pPr>
    <w:bookmarkStart w:id="7" w:name="_heading=h.1fob9te" w:colFirst="0" w:colLast="0"/>
    <w:bookmarkStart w:id="8" w:name="_Hlk506197003"/>
    <w:bookmarkStart w:id="9" w:name="_Hlk506197004"/>
    <w:bookmarkStart w:id="10" w:name="_Hlk506197005"/>
    <w:bookmarkStart w:id="11" w:name="_Hlk516233502"/>
    <w:bookmarkStart w:id="12" w:name="_Hlk516233503"/>
    <w:bookmarkStart w:id="13" w:name="_Hlk516233504"/>
    <w:bookmarkEnd w:id="7"/>
    <w:r>
      <w:rPr>
        <w:color w:val="404040"/>
        <w:sz w:val="18"/>
        <w:szCs w:val="18"/>
      </w:rPr>
      <w:t>Last updated:</w:t>
    </w:r>
    <w:bookmarkEnd w:id="8"/>
    <w:bookmarkEnd w:id="9"/>
    <w:bookmarkEnd w:id="10"/>
    <w:bookmarkEnd w:id="11"/>
    <w:bookmarkEnd w:id="12"/>
    <w:bookmarkEnd w:id="13"/>
    <w:r>
      <w:rPr>
        <w:color w:val="404040"/>
        <w:sz w:val="18"/>
        <w:szCs w:val="18"/>
      </w:rPr>
      <w:t xml:space="preserve"> </w:t>
    </w:r>
    <w:r w:rsidR="00916491">
      <w:rPr>
        <w:color w:val="404040"/>
        <w:sz w:val="18"/>
        <w:szCs w:val="18"/>
      </w:rPr>
      <w:t>202</w:t>
    </w:r>
    <w:r w:rsidR="00223889">
      <w:rPr>
        <w:color w:val="404040"/>
        <w:sz w:val="18"/>
        <w:szCs w:val="18"/>
      </w:rPr>
      <w:t>2</w:t>
    </w:r>
    <w:r w:rsidR="006D3408">
      <w:rPr>
        <w:color w:val="404040"/>
        <w:sz w:val="18"/>
        <w:szCs w:val="18"/>
      </w:rPr>
      <w:t>-0</w:t>
    </w:r>
    <w:r w:rsidR="00223889">
      <w:rPr>
        <w:color w:val="404040"/>
        <w:sz w:val="18"/>
        <w:szCs w:val="18"/>
      </w:rPr>
      <w:t>3</w:t>
    </w:r>
    <w:r w:rsidR="006D3408">
      <w:rPr>
        <w:color w:val="404040"/>
        <w:sz w:val="18"/>
        <w:szCs w:val="18"/>
      </w:rPr>
      <w:t>-</w:t>
    </w:r>
    <w:r w:rsidR="00223889">
      <w:rPr>
        <w:color w:val="404040"/>
        <w:sz w:val="18"/>
        <w:szCs w:val="18"/>
      </w:rPr>
      <w:t>3</w:t>
    </w:r>
    <w:r w:rsidR="006D3408">
      <w:rPr>
        <w:color w:val="404040"/>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D2663"/>
    <w:multiLevelType w:val="multilevel"/>
    <w:tmpl w:val="C4EC2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A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activeWritingStyle w:appName="MSWord" w:lang="es-ES" w:vendorID="64" w:dllVersion="0" w:nlCheck="1" w:checkStyle="0"/>
  <w:activeWritingStyle w:appName="MSWord" w:lang="pt-PT"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089"/>
    <w:rsid w:val="000070BA"/>
    <w:rsid w:val="000173F9"/>
    <w:rsid w:val="00030145"/>
    <w:rsid w:val="000336C1"/>
    <w:rsid w:val="000412A0"/>
    <w:rsid w:val="00047DDA"/>
    <w:rsid w:val="00050AF8"/>
    <w:rsid w:val="00053A4C"/>
    <w:rsid w:val="0005455A"/>
    <w:rsid w:val="00071F07"/>
    <w:rsid w:val="0007759D"/>
    <w:rsid w:val="000777AB"/>
    <w:rsid w:val="00077F46"/>
    <w:rsid w:val="00090FB1"/>
    <w:rsid w:val="0009214D"/>
    <w:rsid w:val="00096186"/>
    <w:rsid w:val="000A0CCB"/>
    <w:rsid w:val="000A72E4"/>
    <w:rsid w:val="000B0E2F"/>
    <w:rsid w:val="000B2430"/>
    <w:rsid w:val="000D0B30"/>
    <w:rsid w:val="000E21F1"/>
    <w:rsid w:val="000E668A"/>
    <w:rsid w:val="000F703E"/>
    <w:rsid w:val="0010169A"/>
    <w:rsid w:val="00102D67"/>
    <w:rsid w:val="00110E5E"/>
    <w:rsid w:val="00120E86"/>
    <w:rsid w:val="00120EEC"/>
    <w:rsid w:val="00125DE9"/>
    <w:rsid w:val="001273CD"/>
    <w:rsid w:val="001332E0"/>
    <w:rsid w:val="00134DE7"/>
    <w:rsid w:val="00142B36"/>
    <w:rsid w:val="001521D5"/>
    <w:rsid w:val="001523A7"/>
    <w:rsid w:val="00171903"/>
    <w:rsid w:val="001772B6"/>
    <w:rsid w:val="00185354"/>
    <w:rsid w:val="001854DC"/>
    <w:rsid w:val="00186795"/>
    <w:rsid w:val="00194D09"/>
    <w:rsid w:val="001A659B"/>
    <w:rsid w:val="001A7D5C"/>
    <w:rsid w:val="001B2A17"/>
    <w:rsid w:val="001B60AA"/>
    <w:rsid w:val="001B618E"/>
    <w:rsid w:val="001B63C8"/>
    <w:rsid w:val="001C1972"/>
    <w:rsid w:val="001C421F"/>
    <w:rsid w:val="001D360D"/>
    <w:rsid w:val="001E4134"/>
    <w:rsid w:val="00202B27"/>
    <w:rsid w:val="00214C26"/>
    <w:rsid w:val="002160E6"/>
    <w:rsid w:val="00223889"/>
    <w:rsid w:val="00224D90"/>
    <w:rsid w:val="00225D32"/>
    <w:rsid w:val="00261A8D"/>
    <w:rsid w:val="00282049"/>
    <w:rsid w:val="00283B09"/>
    <w:rsid w:val="00283C1C"/>
    <w:rsid w:val="00291A00"/>
    <w:rsid w:val="00291A11"/>
    <w:rsid w:val="002A1472"/>
    <w:rsid w:val="002A2C08"/>
    <w:rsid w:val="002A315C"/>
    <w:rsid w:val="002A3342"/>
    <w:rsid w:val="002A64BA"/>
    <w:rsid w:val="002A761D"/>
    <w:rsid w:val="002B23DB"/>
    <w:rsid w:val="002B4989"/>
    <w:rsid w:val="002B7E1C"/>
    <w:rsid w:val="002C094A"/>
    <w:rsid w:val="002C2510"/>
    <w:rsid w:val="002C346B"/>
    <w:rsid w:val="002C4D87"/>
    <w:rsid w:val="002D714E"/>
    <w:rsid w:val="002E53C3"/>
    <w:rsid w:val="002F1468"/>
    <w:rsid w:val="002F5F0C"/>
    <w:rsid w:val="003265EB"/>
    <w:rsid w:val="003327A7"/>
    <w:rsid w:val="0034329E"/>
    <w:rsid w:val="00343E04"/>
    <w:rsid w:val="00343FAA"/>
    <w:rsid w:val="00347869"/>
    <w:rsid w:val="00347F5E"/>
    <w:rsid w:val="00351337"/>
    <w:rsid w:val="00353C98"/>
    <w:rsid w:val="00371A20"/>
    <w:rsid w:val="003821B4"/>
    <w:rsid w:val="00382CF3"/>
    <w:rsid w:val="00387D52"/>
    <w:rsid w:val="00390088"/>
    <w:rsid w:val="003A0E58"/>
    <w:rsid w:val="003A7CEA"/>
    <w:rsid w:val="003E4CED"/>
    <w:rsid w:val="003F0BD3"/>
    <w:rsid w:val="003F278A"/>
    <w:rsid w:val="003F6355"/>
    <w:rsid w:val="003F7A02"/>
    <w:rsid w:val="00404A23"/>
    <w:rsid w:val="00422EA5"/>
    <w:rsid w:val="00422EFA"/>
    <w:rsid w:val="0042458A"/>
    <w:rsid w:val="0042791F"/>
    <w:rsid w:val="00436F81"/>
    <w:rsid w:val="00437F83"/>
    <w:rsid w:val="004456ED"/>
    <w:rsid w:val="00453AA1"/>
    <w:rsid w:val="00457E51"/>
    <w:rsid w:val="00477ED3"/>
    <w:rsid w:val="0048045A"/>
    <w:rsid w:val="004841B8"/>
    <w:rsid w:val="004930F2"/>
    <w:rsid w:val="00495434"/>
    <w:rsid w:val="004B0F1C"/>
    <w:rsid w:val="004B655C"/>
    <w:rsid w:val="004F2EE6"/>
    <w:rsid w:val="00502DBA"/>
    <w:rsid w:val="005040C4"/>
    <w:rsid w:val="00507637"/>
    <w:rsid w:val="00507852"/>
    <w:rsid w:val="00514D3F"/>
    <w:rsid w:val="00514DBF"/>
    <w:rsid w:val="005274E1"/>
    <w:rsid w:val="0053304A"/>
    <w:rsid w:val="00534E8D"/>
    <w:rsid w:val="00550921"/>
    <w:rsid w:val="00563712"/>
    <w:rsid w:val="0056456A"/>
    <w:rsid w:val="00573631"/>
    <w:rsid w:val="00573C0B"/>
    <w:rsid w:val="00576CFA"/>
    <w:rsid w:val="0058556D"/>
    <w:rsid w:val="0059057C"/>
    <w:rsid w:val="00590B5E"/>
    <w:rsid w:val="00592AF2"/>
    <w:rsid w:val="00593C8C"/>
    <w:rsid w:val="005947AD"/>
    <w:rsid w:val="00597748"/>
    <w:rsid w:val="005979E8"/>
    <w:rsid w:val="005A1629"/>
    <w:rsid w:val="005C25FD"/>
    <w:rsid w:val="005C3EFC"/>
    <w:rsid w:val="005D0AF4"/>
    <w:rsid w:val="005D2470"/>
    <w:rsid w:val="005E0930"/>
    <w:rsid w:val="005E4941"/>
    <w:rsid w:val="005E54BD"/>
    <w:rsid w:val="005F6CCA"/>
    <w:rsid w:val="006104AF"/>
    <w:rsid w:val="00613782"/>
    <w:rsid w:val="00614424"/>
    <w:rsid w:val="00621893"/>
    <w:rsid w:val="006351E1"/>
    <w:rsid w:val="006447B1"/>
    <w:rsid w:val="00662775"/>
    <w:rsid w:val="00663A18"/>
    <w:rsid w:val="006718C8"/>
    <w:rsid w:val="00683C46"/>
    <w:rsid w:val="006852FC"/>
    <w:rsid w:val="0069281A"/>
    <w:rsid w:val="006A5E88"/>
    <w:rsid w:val="006B40AB"/>
    <w:rsid w:val="006B5DC5"/>
    <w:rsid w:val="006C4BFD"/>
    <w:rsid w:val="006C5D0F"/>
    <w:rsid w:val="006C7D30"/>
    <w:rsid w:val="006D3408"/>
    <w:rsid w:val="006E3C08"/>
    <w:rsid w:val="00700ACF"/>
    <w:rsid w:val="00712487"/>
    <w:rsid w:val="00742B95"/>
    <w:rsid w:val="00744934"/>
    <w:rsid w:val="00751E93"/>
    <w:rsid w:val="007530CA"/>
    <w:rsid w:val="00756D68"/>
    <w:rsid w:val="007578D9"/>
    <w:rsid w:val="00757E8A"/>
    <w:rsid w:val="00763E43"/>
    <w:rsid w:val="00764EB5"/>
    <w:rsid w:val="00777A95"/>
    <w:rsid w:val="00782416"/>
    <w:rsid w:val="007A39C4"/>
    <w:rsid w:val="007B0364"/>
    <w:rsid w:val="007C036F"/>
    <w:rsid w:val="007D0981"/>
    <w:rsid w:val="007D1929"/>
    <w:rsid w:val="007E72DE"/>
    <w:rsid w:val="007F7C45"/>
    <w:rsid w:val="00803CF1"/>
    <w:rsid w:val="00806A20"/>
    <w:rsid w:val="00807537"/>
    <w:rsid w:val="008104BB"/>
    <w:rsid w:val="008249C5"/>
    <w:rsid w:val="00830FD0"/>
    <w:rsid w:val="00843998"/>
    <w:rsid w:val="008526F9"/>
    <w:rsid w:val="0085285E"/>
    <w:rsid w:val="00853023"/>
    <w:rsid w:val="008534D4"/>
    <w:rsid w:val="008556EB"/>
    <w:rsid w:val="00874077"/>
    <w:rsid w:val="00881E28"/>
    <w:rsid w:val="00893E72"/>
    <w:rsid w:val="00894C4B"/>
    <w:rsid w:val="008A12E3"/>
    <w:rsid w:val="008A42FA"/>
    <w:rsid w:val="008A6F9C"/>
    <w:rsid w:val="008B0AC7"/>
    <w:rsid w:val="008B2B14"/>
    <w:rsid w:val="008C2335"/>
    <w:rsid w:val="008C67C1"/>
    <w:rsid w:val="008D1D39"/>
    <w:rsid w:val="008E1430"/>
    <w:rsid w:val="008E2458"/>
    <w:rsid w:val="008F07D2"/>
    <w:rsid w:val="009077D8"/>
    <w:rsid w:val="00916491"/>
    <w:rsid w:val="009173E0"/>
    <w:rsid w:val="00917851"/>
    <w:rsid w:val="00917F65"/>
    <w:rsid w:val="009311E7"/>
    <w:rsid w:val="00931503"/>
    <w:rsid w:val="0094229B"/>
    <w:rsid w:val="00942694"/>
    <w:rsid w:val="00945C51"/>
    <w:rsid w:val="00956CD2"/>
    <w:rsid w:val="009756F7"/>
    <w:rsid w:val="00982EAE"/>
    <w:rsid w:val="00987908"/>
    <w:rsid w:val="009A1D47"/>
    <w:rsid w:val="009A7089"/>
    <w:rsid w:val="009A7E3A"/>
    <w:rsid w:val="009B1265"/>
    <w:rsid w:val="009B4A15"/>
    <w:rsid w:val="009B5693"/>
    <w:rsid w:val="009C61A2"/>
    <w:rsid w:val="009C78E4"/>
    <w:rsid w:val="009D33B9"/>
    <w:rsid w:val="009D687E"/>
    <w:rsid w:val="009E3065"/>
    <w:rsid w:val="009F1856"/>
    <w:rsid w:val="009F6DE7"/>
    <w:rsid w:val="00A03C95"/>
    <w:rsid w:val="00A10583"/>
    <w:rsid w:val="00A24CBE"/>
    <w:rsid w:val="00A32F66"/>
    <w:rsid w:val="00A33020"/>
    <w:rsid w:val="00A37FCB"/>
    <w:rsid w:val="00A42391"/>
    <w:rsid w:val="00A458B4"/>
    <w:rsid w:val="00A54863"/>
    <w:rsid w:val="00A5545A"/>
    <w:rsid w:val="00A61D74"/>
    <w:rsid w:val="00A67D4E"/>
    <w:rsid w:val="00A76733"/>
    <w:rsid w:val="00A83A3B"/>
    <w:rsid w:val="00A8688B"/>
    <w:rsid w:val="00A91163"/>
    <w:rsid w:val="00A9286F"/>
    <w:rsid w:val="00A96255"/>
    <w:rsid w:val="00A966DA"/>
    <w:rsid w:val="00AA2156"/>
    <w:rsid w:val="00AB285B"/>
    <w:rsid w:val="00AF5552"/>
    <w:rsid w:val="00AF5CB4"/>
    <w:rsid w:val="00AF5ED1"/>
    <w:rsid w:val="00AF71D6"/>
    <w:rsid w:val="00B216EE"/>
    <w:rsid w:val="00B3175F"/>
    <w:rsid w:val="00B31E2C"/>
    <w:rsid w:val="00B329B0"/>
    <w:rsid w:val="00B358BD"/>
    <w:rsid w:val="00B402D8"/>
    <w:rsid w:val="00B4159F"/>
    <w:rsid w:val="00B4237C"/>
    <w:rsid w:val="00B42FE8"/>
    <w:rsid w:val="00B52AFD"/>
    <w:rsid w:val="00B54077"/>
    <w:rsid w:val="00B638B5"/>
    <w:rsid w:val="00B8065E"/>
    <w:rsid w:val="00B8087E"/>
    <w:rsid w:val="00BB646E"/>
    <w:rsid w:val="00BD1BA1"/>
    <w:rsid w:val="00BE5CA9"/>
    <w:rsid w:val="00C019E5"/>
    <w:rsid w:val="00C06AEB"/>
    <w:rsid w:val="00C23DC2"/>
    <w:rsid w:val="00C2638F"/>
    <w:rsid w:val="00C30E86"/>
    <w:rsid w:val="00C35BC4"/>
    <w:rsid w:val="00C417F2"/>
    <w:rsid w:val="00C43F5B"/>
    <w:rsid w:val="00C65F2E"/>
    <w:rsid w:val="00C77EB3"/>
    <w:rsid w:val="00C845F3"/>
    <w:rsid w:val="00CA6193"/>
    <w:rsid w:val="00CA69B1"/>
    <w:rsid w:val="00CB4371"/>
    <w:rsid w:val="00CC516D"/>
    <w:rsid w:val="00CE230B"/>
    <w:rsid w:val="00CE5C13"/>
    <w:rsid w:val="00D04ADD"/>
    <w:rsid w:val="00D10F8B"/>
    <w:rsid w:val="00D113E1"/>
    <w:rsid w:val="00D221D0"/>
    <w:rsid w:val="00D24330"/>
    <w:rsid w:val="00D2487E"/>
    <w:rsid w:val="00D3348A"/>
    <w:rsid w:val="00D40056"/>
    <w:rsid w:val="00D51E7C"/>
    <w:rsid w:val="00D54F29"/>
    <w:rsid w:val="00D64A74"/>
    <w:rsid w:val="00D7020C"/>
    <w:rsid w:val="00D70AD9"/>
    <w:rsid w:val="00D72152"/>
    <w:rsid w:val="00D76A18"/>
    <w:rsid w:val="00D94BA5"/>
    <w:rsid w:val="00D9510F"/>
    <w:rsid w:val="00DA615C"/>
    <w:rsid w:val="00DD1BC6"/>
    <w:rsid w:val="00DE5DC3"/>
    <w:rsid w:val="00E00D8A"/>
    <w:rsid w:val="00E1050F"/>
    <w:rsid w:val="00E112EA"/>
    <w:rsid w:val="00E11604"/>
    <w:rsid w:val="00E11D92"/>
    <w:rsid w:val="00E130A0"/>
    <w:rsid w:val="00E210C4"/>
    <w:rsid w:val="00E23DB7"/>
    <w:rsid w:val="00E25C33"/>
    <w:rsid w:val="00E30B89"/>
    <w:rsid w:val="00E40BAE"/>
    <w:rsid w:val="00E46D96"/>
    <w:rsid w:val="00E52CCA"/>
    <w:rsid w:val="00E62590"/>
    <w:rsid w:val="00E66409"/>
    <w:rsid w:val="00E71C11"/>
    <w:rsid w:val="00E7405B"/>
    <w:rsid w:val="00E77A88"/>
    <w:rsid w:val="00E81D5B"/>
    <w:rsid w:val="00E83BED"/>
    <w:rsid w:val="00E8704D"/>
    <w:rsid w:val="00E87584"/>
    <w:rsid w:val="00E87A4A"/>
    <w:rsid w:val="00E976B9"/>
    <w:rsid w:val="00EA05D3"/>
    <w:rsid w:val="00EB0587"/>
    <w:rsid w:val="00EB19AD"/>
    <w:rsid w:val="00EB2F31"/>
    <w:rsid w:val="00EB6493"/>
    <w:rsid w:val="00EC2915"/>
    <w:rsid w:val="00ED05A9"/>
    <w:rsid w:val="00ED1BA0"/>
    <w:rsid w:val="00ED3F46"/>
    <w:rsid w:val="00ED5E59"/>
    <w:rsid w:val="00F17257"/>
    <w:rsid w:val="00F34D24"/>
    <w:rsid w:val="00F4130B"/>
    <w:rsid w:val="00F45CA4"/>
    <w:rsid w:val="00F556A2"/>
    <w:rsid w:val="00F719A8"/>
    <w:rsid w:val="00F878B9"/>
    <w:rsid w:val="00F87B73"/>
    <w:rsid w:val="00FA42E7"/>
    <w:rsid w:val="00FB24E8"/>
    <w:rsid w:val="00FB3B2B"/>
    <w:rsid w:val="00FC18DA"/>
    <w:rsid w:val="00FC3917"/>
    <w:rsid w:val="00FC488D"/>
    <w:rsid w:val="00FD31CB"/>
    <w:rsid w:val="00FD60DA"/>
    <w:rsid w:val="00FF07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5967A3"/>
  <w15:docId w15:val="{9442AC8E-16BD-4E5C-A092-A4FF0DBC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FootnoteText">
    <w:name w:val="footnote text"/>
    <w:basedOn w:val="Normal"/>
    <w:link w:val="FootnoteTextChar"/>
    <w:uiPriority w:val="99"/>
    <w:semiHidden/>
    <w:unhideWhenUsed/>
    <w:rsid w:val="008E1430"/>
    <w:pPr>
      <w:spacing w:after="0" w:line="240" w:lineRule="auto"/>
      <w:jc w:val="both"/>
    </w:pPr>
    <w:rPr>
      <w:rFonts w:ascii="Open Sans" w:eastAsiaTheme="minorHAnsi" w:hAnsi="Open Sans"/>
      <w:sz w:val="20"/>
      <w:szCs w:val="20"/>
      <w:lang w:val="en-CA" w:eastAsia="en-US"/>
    </w:rPr>
  </w:style>
  <w:style w:type="character" w:customStyle="1" w:styleId="FootnoteTextChar">
    <w:name w:val="Footnote Text Char"/>
    <w:basedOn w:val="DefaultParagraphFont"/>
    <w:link w:val="FootnoteText"/>
    <w:uiPriority w:val="99"/>
    <w:semiHidden/>
    <w:rsid w:val="008E1430"/>
    <w:rPr>
      <w:rFonts w:ascii="Open Sans" w:eastAsiaTheme="minorHAnsi" w:hAnsi="Open Sans"/>
      <w:sz w:val="20"/>
      <w:szCs w:val="20"/>
      <w:lang w:val="en-CA" w:eastAsia="en-US"/>
    </w:rPr>
  </w:style>
  <w:style w:type="paragraph" w:styleId="Subtitle">
    <w:name w:val="Subtitle"/>
    <w:basedOn w:val="Normal"/>
    <w:next w:val="Normal"/>
    <w:link w:val="SubtitleChar"/>
    <w:pPr>
      <w:spacing w:after="160"/>
      <w:ind w:left="540"/>
      <w:jc w:val="center"/>
    </w:pPr>
    <w:rPr>
      <w:b/>
      <w:color w:val="5A5A5A"/>
    </w:rPr>
  </w:style>
  <w:style w:type="character" w:customStyle="1" w:styleId="SubtitleChar">
    <w:name w:val="Subtitle Char"/>
    <w:basedOn w:val="DefaultParagraphFont"/>
    <w:link w:val="Subtitle"/>
    <w:uiPriority w:val="11"/>
    <w:rsid w:val="008E1430"/>
    <w:rPr>
      <w:b/>
      <w:color w:val="5A5A5A" w:themeColor="text1" w:themeTint="A5"/>
      <w:spacing w:val="15"/>
    </w:rPr>
  </w:style>
  <w:style w:type="character" w:styleId="FootnoteReference">
    <w:name w:val="footnote reference"/>
    <w:basedOn w:val="DefaultParagraphFont"/>
    <w:uiPriority w:val="99"/>
    <w:semiHidden/>
    <w:unhideWhenUsed/>
    <w:rsid w:val="008E1430"/>
    <w:rPr>
      <w:vertAlign w:val="superscript"/>
    </w:rPr>
  </w:style>
  <w:style w:type="table" w:customStyle="1" w:styleId="TableGrid2">
    <w:name w:val="TableGrid2"/>
    <w:rsid w:val="008E1430"/>
    <w:pPr>
      <w:spacing w:after="0" w:line="240" w:lineRule="auto"/>
    </w:pPr>
    <w:rPr>
      <w:lang w:eastAsia="en-US"/>
    </w:rPr>
    <w:tblPr>
      <w:tblCellMar>
        <w:top w:w="0" w:type="dxa"/>
        <w:left w:w="0" w:type="dxa"/>
        <w:bottom w:w="0" w:type="dxa"/>
        <w:right w:w="0" w:type="dxa"/>
      </w:tblCellMar>
    </w:tblPr>
  </w:style>
  <w:style w:type="table" w:customStyle="1" w:styleId="TableGrid1">
    <w:name w:val="TableGrid1"/>
    <w:rsid w:val="008E1430"/>
    <w:pPr>
      <w:spacing w:after="0" w:line="240" w:lineRule="auto"/>
    </w:pPr>
    <w:rPr>
      <w:lang w:eastAsia="en-US"/>
    </w:rPr>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CellMar>
        <w:top w:w="60" w:type="dxa"/>
        <w:right w:w="56" w:type="dxa"/>
      </w:tblCellMar>
    </w:tblPr>
  </w:style>
  <w:style w:type="table" w:customStyle="1" w:styleId="a0">
    <w:basedOn w:val="TableNormal"/>
    <w:pPr>
      <w:spacing w:after="0" w:line="240" w:lineRule="auto"/>
    </w:pPr>
    <w:tblPr>
      <w:tblStyleRowBandSize w:val="1"/>
      <w:tblStyleColBandSize w:val="1"/>
      <w:tblCellMar>
        <w:top w:w="59" w:type="dxa"/>
        <w:right w:w="56" w:type="dxa"/>
      </w:tblCellMar>
    </w:tblPr>
  </w:style>
  <w:style w:type="table" w:customStyle="1" w:styleId="a1">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1"/>
    <w:qFormat/>
    <w:rsid w:val="00F87B73"/>
    <w:pPr>
      <w:widowControl w:val="0"/>
      <w:autoSpaceDE w:val="0"/>
      <w:autoSpaceDN w:val="0"/>
      <w:spacing w:after="0" w:line="264" w:lineRule="auto"/>
      <w:ind w:right="146"/>
      <w:jc w:val="both"/>
    </w:pPr>
    <w:rPr>
      <w:rFonts w:ascii="Open Sans" w:eastAsia="Open Sans" w:hAnsi="Open Sans" w:cs="Open Sans"/>
      <w:sz w:val="20"/>
      <w:szCs w:val="20"/>
      <w:lang w:val="en-US" w:eastAsia="en-US"/>
    </w:rPr>
  </w:style>
  <w:style w:type="character" w:customStyle="1" w:styleId="BodyTextChar">
    <w:name w:val="Body Text Char"/>
    <w:basedOn w:val="DefaultParagraphFont"/>
    <w:link w:val="BodyText"/>
    <w:uiPriority w:val="1"/>
    <w:rsid w:val="00F87B73"/>
    <w:rPr>
      <w:rFonts w:ascii="Open Sans" w:eastAsia="Open Sans" w:hAnsi="Open Sans" w:cs="Open Sans"/>
      <w:sz w:val="20"/>
      <w:szCs w:val="20"/>
      <w:lang w:val="en-US" w:eastAsia="en-US"/>
    </w:rPr>
  </w:style>
  <w:style w:type="paragraph" w:styleId="Revision">
    <w:name w:val="Revision"/>
    <w:hidden/>
    <w:uiPriority w:val="99"/>
    <w:semiHidden/>
    <w:rsid w:val="002C346B"/>
    <w:pPr>
      <w:spacing w:after="0" w:line="240" w:lineRule="auto"/>
    </w:pPr>
  </w:style>
  <w:style w:type="character" w:styleId="FollowedHyperlink">
    <w:name w:val="FollowedHyperlink"/>
    <w:basedOn w:val="DefaultParagraphFont"/>
    <w:uiPriority w:val="99"/>
    <w:semiHidden/>
    <w:unhideWhenUsed/>
    <w:rsid w:val="00F45C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gaml.uis.unesco.org/wp-content/uploads/sites/2/2019/02/MPLs_revised_doc_20190204.docx" TargetMode="External"/><Relationship Id="rId18" Type="http://schemas.openxmlformats.org/officeDocument/2006/relationships/hyperlink" Target="http://gaml.uis.unesco.org/wp-content/uploads/sites/2/2019/05/GAML6-WD-2-Protocol-for-reporting-4.1.1_v1.pdf" TargetMode="External"/><Relationship Id="rId26" Type="http://schemas.openxmlformats.org/officeDocument/2006/relationships/hyperlink" Target="http://gaml.uis.unesco.org/wp-content/uploads/sites/2/2019/05/Global-Proficiency-Framework-18Oct2019_KD.pdf" TargetMode="External"/><Relationship Id="rId3" Type="http://schemas.openxmlformats.org/officeDocument/2006/relationships/customXml" Target="../customXml/item3.xml"/><Relationship Id="rId21" Type="http://schemas.openxmlformats.org/officeDocument/2006/relationships/hyperlink" Target="http://gaml.uis.unesco.org/wp-content/uploads/sites/2/2019/05/GAML6-WD-2-Protocol-for-reporting-4.1.1_v1.pdf" TargetMode="External"/><Relationship Id="rId7" Type="http://schemas.openxmlformats.org/officeDocument/2006/relationships/styles" Target="styles.xml"/><Relationship Id="rId12" Type="http://schemas.openxmlformats.org/officeDocument/2006/relationships/hyperlink" Target="http://gaml.uis.unesco.org/wp-content/uploads/sites/2/2019/02/MPLs_revised_doc_20190204.docx" TargetMode="External"/><Relationship Id="rId17" Type="http://schemas.openxmlformats.org/officeDocument/2006/relationships/hyperlink" Target="https://www.moe.gov.bn/DocumentDownloads/Education%202030/Education2030.pdf" TargetMode="External"/><Relationship Id="rId25" Type="http://schemas.openxmlformats.org/officeDocument/2006/relationships/hyperlink" Target="http://gaml.uis.unesco.org/wp-content/uploads/sites/2/2019/05/GAML6-WD-2-Protocol-for-reporting-4.1.1_v1.pdf" TargetMode="External"/><Relationship Id="rId2" Type="http://schemas.openxmlformats.org/officeDocument/2006/relationships/customXml" Target="../customXml/item2.xml"/><Relationship Id="rId16" Type="http://schemas.openxmlformats.org/officeDocument/2006/relationships/hyperlink" Target="http://tcg.uis.unesco.org/" TargetMode="External"/><Relationship Id="rId20" Type="http://schemas.openxmlformats.org/officeDocument/2006/relationships/hyperlink" Target="http://gaml.uis.unesco.org/learning-poverty/"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uis.unesco.org/sites/default/files/documents/ip53-costs-benefits-approaches-measuring-proficiency-2019-en.pdf" TargetMode="External"/><Relationship Id="rId5" Type="http://schemas.openxmlformats.org/officeDocument/2006/relationships/customXml" Target="../customXml/item5.xml"/><Relationship Id="rId15" Type="http://schemas.openxmlformats.org/officeDocument/2006/relationships/hyperlink" Target="http://gaml.uis.unesco.org/" TargetMode="External"/><Relationship Id="rId23" Type="http://schemas.openxmlformats.org/officeDocument/2006/relationships/hyperlink" Target="http://gaml.uis.unesco.org/wp-content/uploads/sites/2/2019/07/MPLs_revised_doc_20190506_v2.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tcg.uis.unesco.org/wp-content/uploads/sites/4/2020/10/WG-GAML-3-Children-Completing-and-Learning.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nglives.org.uk/" TargetMode="External"/><Relationship Id="rId22" Type="http://schemas.openxmlformats.org/officeDocument/2006/relationships/hyperlink" Target="http://tcg.uis.unesco.org/wp-content/uploads/sites/4/2020/09/metadata-4.1.1.pdf" TargetMode="External"/><Relationship Id="rId27" Type="http://schemas.openxmlformats.org/officeDocument/2006/relationships/header" Target="head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8E9987AC-0652-4054-90C3-7DF418C69789}"/>
      </w:docPartPr>
      <w:docPartBody>
        <w:p w:rsidR="00000000" w:rsidRDefault="00B1050C">
          <w:r w:rsidRPr="00C9055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50C"/>
    <w:rsid w:val="00B105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05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if+NCffbBGiwFT8Kd/PhUGBcg/EQ==">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</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6597A22-7BCB-4E17-AD05-698BA4F6D47D}">
  <ds:schemaRefs>
    <ds:schemaRef ds:uri="http://purl.org/dc/terms/"/>
    <ds:schemaRef ds:uri="http://purl.org/dc/elements/1.1/"/>
    <ds:schemaRef ds:uri="f2d2d782-0088-4826-96df-71eba56e6d2e"/>
    <ds:schemaRef ds:uri="d114b01d-ae01-4749-b845-9d88e7ef5c0e"/>
    <ds:schemaRef ds:uri="http://schemas.microsoft.com/office/infopath/2007/PartnerControls"/>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A993C544-F5DA-406A-A301-11F9113AA50C}">
  <ds:schemaRefs>
    <ds:schemaRef ds:uri="http://schemas.openxmlformats.org/officeDocument/2006/bibliography"/>
  </ds:schemaRefs>
</ds:datastoreItem>
</file>

<file path=customXml/itemProps5.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2696</Words>
  <Characters>15373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UNESCO</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Harumi Shibata Salazar</cp:lastModifiedBy>
  <cp:revision>22</cp:revision>
  <dcterms:created xsi:type="dcterms:W3CDTF">2022-03-22T15:45:00Z</dcterms:created>
  <dcterms:modified xsi:type="dcterms:W3CDTF">2022-12-20T21:13:00Z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