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sidRPr="007118A0">
        <w:rPr>
          <w:color w:val="B4B4B4"/>
          <w:sz w:val="20"/>
        </w:rPr>
        <w:t>(SDG_INDICATOR_INFO)</w:t>
      </w:r>
    </w:p>
    <w:p w14:paraId="043ED752" w14:textId="28D7692E" w:rsidR="00D24330" w:rsidRPr="007118A0" w:rsidRDefault="00D24330" w:rsidP="00EA05D3">
      <w:pPr>
        <w:pStyle w:val="MIndHeader"/>
        <w:rPr>
          <w:color w:val="B4B4B4"/>
          <w:sz w:val="20"/>
        </w:rPr>
      </w:pPr>
      <w:r w:rsidRPr="00A96255">
        <w:t xml:space="preserve">0.a. Goal </w:t>
      </w:r>
      <w:r w:rsidRPr="007118A0">
        <w:rPr>
          <w:color w:val="B4B4B4"/>
          <w:sz w:val="20"/>
        </w:rPr>
        <w:t>(SDG_GOAL)</w:t>
      </w:r>
    </w:p>
    <w:p w14:paraId="0C615824" w14:textId="0EC0260A" w:rsidR="00D24330" w:rsidRPr="00FE2DD1" w:rsidRDefault="006800F0" w:rsidP="00FE2DD1">
      <w:pPr>
        <w:pStyle w:val="MGTHeader"/>
      </w:pPr>
      <w:r w:rsidRPr="00FA41EE">
        <w:t>Goal 7: Ensure access to affordable, reliable, sustainable and modern energy for all</w:t>
      </w:r>
    </w:p>
    <w:p w14:paraId="084142D2" w14:textId="77777777" w:rsidR="00D24330" w:rsidRPr="007118A0" w:rsidRDefault="00D24330" w:rsidP="00D24330">
      <w:pPr>
        <w:pStyle w:val="MIndHeader"/>
        <w:rPr>
          <w:color w:val="B4B4B4"/>
          <w:sz w:val="20"/>
        </w:rPr>
      </w:pPr>
      <w:r w:rsidRPr="00A96255">
        <w:t xml:space="preserve">0.b. Target </w:t>
      </w:r>
      <w:r w:rsidRPr="007118A0">
        <w:rPr>
          <w:color w:val="B4B4B4"/>
          <w:sz w:val="20"/>
        </w:rPr>
        <w:t>(SDG_TARGET)</w:t>
      </w:r>
    </w:p>
    <w:p w14:paraId="0D7F1B46" w14:textId="176DABCA" w:rsidR="00D24330" w:rsidRPr="00FE2DD1" w:rsidRDefault="006800F0" w:rsidP="00FE2DD1">
      <w:pPr>
        <w:pStyle w:val="MGTHeader"/>
      </w:pPr>
      <w:r w:rsidRPr="00FA41EE">
        <w:t xml:space="preserve">Target 7.1: By 2030, </w:t>
      </w:r>
      <w:r w:rsidRPr="00FE2DD1">
        <w:t>ensure universal access to affordable, reliable and modern energy services</w:t>
      </w:r>
    </w:p>
    <w:p w14:paraId="3E67E7E0" w14:textId="77777777" w:rsidR="00D24330" w:rsidRPr="00A96255" w:rsidRDefault="00D24330" w:rsidP="00D24330">
      <w:pPr>
        <w:pStyle w:val="MIndHeader"/>
      </w:pPr>
      <w:r w:rsidRPr="00A96255">
        <w:t xml:space="preserve">0.c. Indicator </w:t>
      </w:r>
      <w:r w:rsidRPr="007118A0">
        <w:rPr>
          <w:color w:val="B4B4B4"/>
          <w:sz w:val="20"/>
        </w:rPr>
        <w:t>(SDG_INDICATOR)</w:t>
      </w:r>
    </w:p>
    <w:p w14:paraId="6045F6C3" w14:textId="39950530" w:rsidR="00D24330" w:rsidRPr="00025B4F" w:rsidRDefault="006800F0" w:rsidP="00025B4F">
      <w:pPr>
        <w:pStyle w:val="MGTHeader"/>
      </w:pPr>
      <w:bookmarkStart w:id="0" w:name="_Toc455213215"/>
      <w:r w:rsidRPr="00025B4F">
        <w:t xml:space="preserve">Indicator 7.1.2: </w:t>
      </w:r>
      <w:bookmarkStart w:id="1" w:name="OLE_LINK25"/>
      <w:r w:rsidRPr="00025B4F">
        <w:t>Proportion of population with primary reliance on clean fuels and technology</w:t>
      </w:r>
      <w:bookmarkEnd w:id="0"/>
      <w:bookmarkEnd w:id="1"/>
    </w:p>
    <w:p w14:paraId="37E5E4F6" w14:textId="227ADBC1" w:rsidR="00D24330" w:rsidRPr="006153B1" w:rsidRDefault="00D24330" w:rsidP="00D24330">
      <w:pPr>
        <w:pStyle w:val="MIndHeader"/>
        <w:rPr>
          <w:lang w:val="en-US"/>
        </w:rPr>
      </w:pPr>
      <w:r w:rsidRPr="006153B1">
        <w:rPr>
          <w:lang w:val="en-US"/>
        </w:rPr>
        <w:t xml:space="preserve">0.d. Series </w:t>
      </w:r>
      <w:r w:rsidRPr="007118A0">
        <w:rPr>
          <w:color w:val="B4B4B4"/>
          <w:sz w:val="20"/>
        </w:rPr>
        <w:t>(SDG_SERIES_DESCR)</w:t>
      </w:r>
    </w:p>
    <w:p w14:paraId="446D7AFE" w14:textId="7F47E94F" w:rsidR="00F161C0" w:rsidRPr="009015EB" w:rsidRDefault="00E80601" w:rsidP="00B352C7">
      <w:pPr>
        <w:pStyle w:val="MGTHeader"/>
        <w:rPr>
          <w:lang w:val="en-US"/>
        </w:rPr>
      </w:pPr>
      <w:r w:rsidRPr="00E80601">
        <w:rPr>
          <w:lang w:val="en-US"/>
        </w:rPr>
        <w:t>EG_EGY_CLEAN</w:t>
      </w:r>
      <w:r>
        <w:rPr>
          <w:lang w:val="en-US"/>
        </w:rPr>
        <w:t xml:space="preserve"> - </w:t>
      </w:r>
      <w:r w:rsidRPr="00E80601">
        <w:rPr>
          <w:lang w:val="en-US"/>
        </w:rPr>
        <w:t>Proportion of population with primary reliance on clean fuels and technology [7.1.2]</w:t>
      </w:r>
    </w:p>
    <w:p w14:paraId="157DACE7" w14:textId="77777777" w:rsidR="00D24330" w:rsidRPr="00267539" w:rsidRDefault="00D24330" w:rsidP="00D24330">
      <w:pPr>
        <w:pStyle w:val="MIndHeader"/>
        <w:rPr>
          <w:lang w:val="en-US"/>
        </w:rPr>
      </w:pPr>
      <w:r w:rsidRPr="00267539">
        <w:rPr>
          <w:lang w:val="en-US"/>
        </w:rPr>
        <w:t xml:space="preserve">0.e. Metadata update </w:t>
      </w:r>
      <w:r w:rsidRPr="007118A0">
        <w:rPr>
          <w:color w:val="B4B4B4"/>
          <w:sz w:val="20"/>
        </w:rPr>
        <w:t>(META_LAST_UPDATE)</w:t>
      </w:r>
    </w:p>
    <w:p w14:paraId="59ED0C17" w14:textId="348F25BC" w:rsidR="00ED4184" w:rsidRPr="002C6726" w:rsidRDefault="00C94743" w:rsidP="00D24330">
      <w:pPr>
        <w:pStyle w:val="MGTHeader"/>
        <w:rPr>
          <w:lang w:val="en-US"/>
        </w:rPr>
      </w:pPr>
      <w:sdt>
        <w:sdtPr>
          <w:rPr>
            <w:lang w:val="en-US"/>
          </w:rPr>
          <w:id w:val="1704283769"/>
          <w:placeholder>
            <w:docPart w:val="24E1AE97D41949A7BE00AC32E0ED2B46"/>
          </w:placeholder>
          <w:date w:fullDate="2026-07-07T00:00:00Z">
            <w:dateFormat w:val="yyyy-MM-dd"/>
            <w:lid w:val="en-US"/>
            <w:storeMappedDataAs w:val="dateTime"/>
            <w:calendar w:val="gregorian"/>
          </w:date>
        </w:sdtPr>
        <w:sdtEndPr/>
        <w:sdtContent>
          <w:r w:rsidR="0009191C">
            <w:rPr>
              <w:lang w:val="en-US"/>
            </w:rPr>
            <w:t>2026-07-07</w:t>
          </w:r>
        </w:sdtContent>
      </w:sdt>
    </w:p>
    <w:p w14:paraId="415C9FF1" w14:textId="77777777" w:rsidR="00D24330" w:rsidRPr="00837C57" w:rsidRDefault="00D24330" w:rsidP="00837C57">
      <w:pPr>
        <w:pStyle w:val="MIndHeader"/>
      </w:pPr>
      <w:r w:rsidRPr="00A96255">
        <w:t xml:space="preserve">0.f. Related indicators </w:t>
      </w:r>
      <w:r w:rsidRPr="007118A0">
        <w:rPr>
          <w:color w:val="B4B4B4"/>
          <w:sz w:val="20"/>
        </w:rPr>
        <w:t>(SDG_RELATED_INDICATORS)</w:t>
      </w:r>
    </w:p>
    <w:p w14:paraId="21524279" w14:textId="2AB374D8" w:rsidR="00D24330" w:rsidRPr="00A96255" w:rsidRDefault="006800F0" w:rsidP="006800F0">
      <w:pPr>
        <w:pStyle w:val="MGTHeader"/>
      </w:pPr>
      <w:r>
        <w:t>3.9.1: Mortality rate attributed to household and ambient air pollution</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sidRPr="007118A0">
        <w:rPr>
          <w:color w:val="B4B4B4"/>
          <w:sz w:val="20"/>
        </w:rPr>
        <w:t>(SDG_CUSTODIAN_AGENCIES)</w:t>
      </w:r>
    </w:p>
    <w:p w14:paraId="0393368E" w14:textId="5062A1FB" w:rsidR="00621893" w:rsidRPr="00FA41EE" w:rsidRDefault="006800F0" w:rsidP="00025B4F">
      <w:pPr>
        <w:pStyle w:val="MGTHeader"/>
        <w:rPr>
          <w:color w:val="4A4A4A"/>
        </w:rPr>
      </w:pPr>
      <w:r w:rsidRPr="00025B4F">
        <w:t>World Health Organization (WHO)</w:t>
      </w:r>
    </w:p>
    <w:p w14:paraId="19F29921" w14:textId="77777777" w:rsidR="008D1D39" w:rsidRPr="00025B4F" w:rsidRDefault="008D1D39" w:rsidP="00025B4F">
      <w:pPr>
        <w:shd w:val="clear" w:color="auto" w:fill="FFFFFF"/>
        <w:spacing w:after="0"/>
        <w:rPr>
          <w:color w:val="4A4A4A"/>
          <w:sz w:val="21"/>
        </w:rPr>
      </w:pPr>
    </w:p>
    <w:p w14:paraId="12E0D73A" w14:textId="48126E58" w:rsidR="00B31E2C" w:rsidRPr="007118A0" w:rsidRDefault="00B31E2C" w:rsidP="00EA05D3">
      <w:pPr>
        <w:pStyle w:val="MHeader"/>
        <w:rPr>
          <w:color w:val="B4B4B4"/>
          <w:sz w:val="20"/>
          <w:szCs w:val="22"/>
        </w:rPr>
      </w:pPr>
      <w:bookmarkStart w:id="2" w:name="_Toc37932744"/>
      <w:bookmarkStart w:id="3" w:name="_Toc36813072"/>
      <w:bookmarkStart w:id="4" w:name="_Toc36812685"/>
      <w:bookmarkStart w:id="5" w:name="_Toc36812572"/>
      <w:bookmarkStart w:id="6" w:name="_Toc36655609"/>
      <w:r w:rsidRPr="00EA05D3">
        <w:t xml:space="preserve">1. Data reporter </w:t>
      </w:r>
      <w:r w:rsidRPr="007118A0">
        <w:rPr>
          <w:color w:val="B4B4B4"/>
          <w:sz w:val="20"/>
          <w:szCs w:val="22"/>
        </w:rPr>
        <w:t>(CONTACT)</w:t>
      </w:r>
      <w:bookmarkEnd w:id="2"/>
      <w:bookmarkEnd w:id="3"/>
      <w:bookmarkEnd w:id="4"/>
      <w:bookmarkEnd w:id="5"/>
      <w:bookmarkEnd w:id="6"/>
    </w:p>
    <w:p w14:paraId="0BD77982" w14:textId="72DFE854" w:rsidR="00576CFA" w:rsidRPr="00A96255" w:rsidRDefault="00576CFA" w:rsidP="00F719A8">
      <w:pPr>
        <w:pStyle w:val="MHeader2"/>
      </w:pPr>
      <w:r w:rsidRPr="00A96255">
        <w:t xml:space="preserve">1.a. Organisation </w:t>
      </w:r>
      <w:r w:rsidRPr="007118A0">
        <w:rPr>
          <w:color w:val="B4B4B4"/>
          <w:sz w:val="20"/>
          <w:szCs w:val="22"/>
        </w:rPr>
        <w:t>(CONTACT_ORGANISATION)</w:t>
      </w:r>
    </w:p>
    <w:p w14:paraId="065F26D2" w14:textId="59579333" w:rsidR="00576CFA" w:rsidRDefault="006800F0" w:rsidP="00576CFA">
      <w:pPr>
        <w:pStyle w:val="MText"/>
      </w:pPr>
      <w:r w:rsidRPr="006800F0">
        <w:t>World Health Organization (WHO)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sidRPr="007118A0">
        <w:rPr>
          <w:color w:val="B4B4B4"/>
          <w:sz w:val="20"/>
          <w:szCs w:val="22"/>
        </w:rPr>
        <w:t>(IND_DEF_CON_CLASS)</w:t>
      </w:r>
    </w:p>
    <w:p w14:paraId="2AC373EA" w14:textId="44236363" w:rsidR="008B0AC7" w:rsidRPr="00A96255" w:rsidRDefault="008B0AC7" w:rsidP="00F719A8">
      <w:pPr>
        <w:pStyle w:val="MHeader2"/>
      </w:pPr>
      <w:r w:rsidRPr="00A96255">
        <w:t xml:space="preserve">2.a. Definition and concepts </w:t>
      </w:r>
      <w:r w:rsidRPr="007118A0">
        <w:rPr>
          <w:color w:val="B4B4B4"/>
          <w:sz w:val="20"/>
          <w:szCs w:val="22"/>
        </w:rPr>
        <w:t>(STAT_CONC_DEF)</w:t>
      </w:r>
    </w:p>
    <w:p w14:paraId="55270A78" w14:textId="77777777" w:rsidR="006800F0" w:rsidRPr="00F42189" w:rsidRDefault="006800F0" w:rsidP="00EA4A45">
      <w:pPr>
        <w:pStyle w:val="MText"/>
        <w:rPr>
          <w:b/>
        </w:rPr>
      </w:pPr>
      <w:r w:rsidRPr="00F42189">
        <w:rPr>
          <w:b/>
        </w:rPr>
        <w:t>Definition:</w:t>
      </w:r>
    </w:p>
    <w:p w14:paraId="153B09C3" w14:textId="1336C3A9" w:rsidR="00D51E7C" w:rsidRPr="00FE2DD1" w:rsidRDefault="006800F0" w:rsidP="00EA4A45">
      <w:pPr>
        <w:pStyle w:val="MText"/>
      </w:pPr>
      <w:r w:rsidRPr="00FE2DD1">
        <w:t>Proportion of population with primary reliance on clean fuels and technology is calculated as the number of people using clean fuels and technologies for cooking, heating and lighting divided by total population reporting that any cooking, heating or lighting, expressed as percentage. “Clean” is defined by the emission rate targets and specific fuel recommendations (i.e. against unprocessed coal and kerosene) included in the normative guidance WHO guidelines for indoor air quality: household fuel combustion.</w:t>
      </w:r>
    </w:p>
    <w:p w14:paraId="36FCEAD5" w14:textId="1FC9CF50" w:rsidR="006800F0" w:rsidRPr="00FE2DD1" w:rsidRDefault="006800F0" w:rsidP="00EA4A45">
      <w:pPr>
        <w:pStyle w:val="MText"/>
      </w:pPr>
    </w:p>
    <w:p w14:paraId="67673C43" w14:textId="4B68F0B0" w:rsidR="006800F0" w:rsidRPr="00F42189" w:rsidRDefault="006800F0" w:rsidP="00EA4A45">
      <w:pPr>
        <w:pStyle w:val="MText"/>
        <w:rPr>
          <w:b/>
        </w:rPr>
      </w:pPr>
      <w:r w:rsidRPr="00F42189">
        <w:rPr>
          <w:b/>
        </w:rPr>
        <w:t>Concepts:</w:t>
      </w:r>
    </w:p>
    <w:p w14:paraId="06EC5FFA" w14:textId="2907250D" w:rsidR="006800F0" w:rsidRPr="00FE2DD1" w:rsidRDefault="006800F0" w:rsidP="00EA4A45">
      <w:pPr>
        <w:pStyle w:val="MText"/>
      </w:pPr>
      <w:r w:rsidRPr="00FE2DD1">
        <w:t xml:space="preserve">Current global data collection focuses on the primary fuel used for cooking, categorized as solid or non-solid fuels, where solid fuels are considered polluting and non-modern, while non-solid fuels are considered clean. This single measure captures a good part of the lack of access to clean cooking </w:t>
      </w:r>
      <w:r w:rsidR="00B85A69" w:rsidRPr="00FE2DD1">
        <w:t>fuels but</w:t>
      </w:r>
      <w:r w:rsidRPr="00FE2DD1">
        <w:t xml:space="preserve"> fails to collect data on</w:t>
      </w:r>
      <w:r w:rsidR="008B698E">
        <w:t xml:space="preserve"> the</w:t>
      </w:r>
      <w:r w:rsidRPr="00FE2DD1">
        <w:t xml:space="preserve"> type of device or technology used for </w:t>
      </w:r>
      <w:proofErr w:type="gramStart"/>
      <w:r w:rsidRPr="00FE2DD1">
        <w:t>cooking, and</w:t>
      </w:r>
      <w:proofErr w:type="gramEnd"/>
      <w:r w:rsidRPr="00FE2DD1">
        <w:t xml:space="preserve"> fails to capture other polluting forms of energy use in the home such as those used for lighting and heating.</w:t>
      </w:r>
    </w:p>
    <w:p w14:paraId="352AB098" w14:textId="77777777" w:rsidR="006800F0" w:rsidRPr="00FE2DD1" w:rsidRDefault="006800F0" w:rsidP="00EA4A45">
      <w:pPr>
        <w:pStyle w:val="MText"/>
      </w:pPr>
    </w:p>
    <w:p w14:paraId="41C58897" w14:textId="72A77496" w:rsidR="006800F0" w:rsidRPr="00FE2DD1" w:rsidRDefault="00FC2934" w:rsidP="00EA4A45">
      <w:pPr>
        <w:pStyle w:val="MText"/>
      </w:pPr>
      <w:r>
        <w:t>Current</w:t>
      </w:r>
      <w:r w:rsidRPr="00FE2DD1">
        <w:t xml:space="preserve"> </w:t>
      </w:r>
      <w:r w:rsidR="006800F0" w:rsidRPr="00FE2DD1">
        <w:t xml:space="preserve">evidence-based normative guidance from the WHO (i.e. WHO Guidelines for indoor air quality guidelines: household fuel combustion), highlights the importance of addressing both fuel and the technology for adequately protecting public health. These guidelines provide technical recommendations in the form of emissions targets for as to what fuels and technology (stove, lamp, and so on) combinations in the home are clean. These guidelines also recommend against the use of unprocessed coal and discourage the use </w:t>
      </w:r>
      <w:r w:rsidR="00A51E2E">
        <w:t xml:space="preserve">of </w:t>
      </w:r>
      <w:r w:rsidR="006800F0" w:rsidRPr="00FE2DD1">
        <w:t>kerosene (a non-solid but highly polluting fuel) in the home. They also recommend that all major household energy end uses (e.g. cooking, space heating, lighting) use efficient fuels and technology combinations to ensure health benefits.</w:t>
      </w:r>
    </w:p>
    <w:p w14:paraId="5215ECBC" w14:textId="77777777" w:rsidR="006800F0" w:rsidRPr="00FE2DD1" w:rsidRDefault="006800F0" w:rsidP="00EA4A45">
      <w:pPr>
        <w:pStyle w:val="MText"/>
      </w:pPr>
    </w:p>
    <w:p w14:paraId="1C22F30D" w14:textId="2E27C702" w:rsidR="006800F0" w:rsidRPr="00FE2DD1" w:rsidRDefault="006800F0" w:rsidP="00EA4A45">
      <w:pPr>
        <w:pStyle w:val="MText"/>
      </w:pPr>
      <w:r w:rsidRPr="00FE2DD1">
        <w:t xml:space="preserve">For this reason, the technical recommendations in the WHO guidelines, access to modern cooking solution in the home will be defined as “access to clean fuels and technologies” rather than “access to non-solid fuels.” This shift will help ensure that health and other “nexus” benefits are better </w:t>
      </w:r>
      <w:proofErr w:type="gramStart"/>
      <w:r w:rsidRPr="00FE2DD1">
        <w:t>counted, and</w:t>
      </w:r>
      <w:proofErr w:type="gramEnd"/>
      <w:r w:rsidRPr="00FE2DD1">
        <w:t xml:space="preserve"> thus realized.</w:t>
      </w:r>
    </w:p>
    <w:p w14:paraId="6E54D3D6" w14:textId="77777777" w:rsidR="00EC2915" w:rsidRPr="00FE2DD1" w:rsidRDefault="00EC2915" w:rsidP="00EA4A45">
      <w:pPr>
        <w:pStyle w:val="MText"/>
      </w:pPr>
    </w:p>
    <w:p w14:paraId="7932F8BD" w14:textId="3869C451" w:rsidR="008B0AC7" w:rsidRPr="00A96255" w:rsidRDefault="00576CFA" w:rsidP="00F719A8">
      <w:pPr>
        <w:pStyle w:val="MHeader2"/>
      </w:pPr>
      <w:r w:rsidRPr="00A96255">
        <w:t xml:space="preserve">2.b. Unit of measure </w:t>
      </w:r>
      <w:r w:rsidRPr="007118A0">
        <w:rPr>
          <w:color w:val="B4B4B4"/>
          <w:sz w:val="20"/>
          <w:szCs w:val="22"/>
        </w:rPr>
        <w:t>(UNIT_MEASURE)</w:t>
      </w:r>
    </w:p>
    <w:p w14:paraId="2D464095" w14:textId="47FCE6CA" w:rsidR="00930AFB" w:rsidRPr="00A96255" w:rsidRDefault="00930AFB" w:rsidP="00576CFA">
      <w:pPr>
        <w:pStyle w:val="MText"/>
      </w:pPr>
      <w:r>
        <w:t>Percent</w:t>
      </w:r>
      <w:r w:rsidR="00CE41B9">
        <w:t xml:space="preserve"> (%)</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sidRPr="007118A0">
        <w:rPr>
          <w:color w:val="B4B4B4"/>
          <w:sz w:val="20"/>
          <w:szCs w:val="22"/>
        </w:rPr>
        <w:t>(CLASS_SYSTEM)</w:t>
      </w:r>
    </w:p>
    <w:p w14:paraId="3D384BA8" w14:textId="2D8AC144" w:rsidR="00EC2915" w:rsidRPr="00267539" w:rsidRDefault="00CC1839" w:rsidP="00576CFA">
      <w:pPr>
        <w:pStyle w:val="MText"/>
        <w:rPr>
          <w:lang w:val="en-US"/>
        </w:rPr>
      </w:pPr>
      <w:r w:rsidRPr="00CC1839">
        <w:t>Regional and global classifications refer to the list of standard country or area codes for statistical use (M49) provided by the United Nations Statistics Division</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sidRPr="007118A0">
        <w:rPr>
          <w:color w:val="B4B4B4"/>
          <w:sz w:val="20"/>
          <w:szCs w:val="22"/>
        </w:rPr>
        <w:t>(SRC_TYPE_COLL_METHOD)</w:t>
      </w:r>
    </w:p>
    <w:p w14:paraId="340B050E" w14:textId="31C09E5F" w:rsidR="008B0AC7" w:rsidRPr="00A96255" w:rsidRDefault="008B0AC7" w:rsidP="00F719A8">
      <w:pPr>
        <w:pStyle w:val="MHeader2"/>
      </w:pPr>
      <w:r w:rsidRPr="00A96255">
        <w:t xml:space="preserve">3.a. Data sources </w:t>
      </w:r>
      <w:r w:rsidRPr="007118A0">
        <w:rPr>
          <w:color w:val="B4B4B4"/>
          <w:sz w:val="20"/>
          <w:szCs w:val="22"/>
        </w:rPr>
        <w:t>(SOURCE_TYPE)</w:t>
      </w:r>
    </w:p>
    <w:p w14:paraId="0287B17B" w14:textId="77777777" w:rsidR="00BF0B86" w:rsidRPr="00FE2DD1" w:rsidRDefault="00BF0B86" w:rsidP="00685B47">
      <w:pPr>
        <w:pStyle w:val="MText"/>
      </w:pPr>
      <w:r w:rsidRPr="00FA41EE">
        <w:t>Primary household fuels and technologies, particularly for cooking, is routinely collected at the national levels in most countries using</w:t>
      </w:r>
      <w:r w:rsidRPr="00FE2DD1">
        <w:t xml:space="preserve"> censuses and surveys. Household surveys used </w:t>
      </w:r>
      <w:proofErr w:type="gramStart"/>
      <w:r w:rsidRPr="00FE2DD1">
        <w:t>include:</w:t>
      </w:r>
      <w:proofErr w:type="gramEnd"/>
      <w:r w:rsidRPr="00FE2DD1">
        <w:t xml:space="preserve"> United States Agency for International Development (USAID)-supported Demographic and Health Surveys (DHS); United Nations Children’s Fund (UNICEF)-supported Multiple Indicator Cluster Surveys (MICS); WHO-supported World Health Surveys (WHS); and other reliable and nationally representative country surveys.</w:t>
      </w:r>
    </w:p>
    <w:p w14:paraId="2AB064E5" w14:textId="77777777" w:rsidR="00BF0B86" w:rsidRPr="00FE2DD1" w:rsidRDefault="00BF0B86" w:rsidP="00685B47">
      <w:pPr>
        <w:pStyle w:val="MText"/>
      </w:pPr>
    </w:p>
    <w:p w14:paraId="4C1B7B49" w14:textId="69CABE07" w:rsidR="00BF0B86" w:rsidRPr="00FE2DD1" w:rsidRDefault="00BF0B86" w:rsidP="00685B47">
      <w:pPr>
        <w:pStyle w:val="MText"/>
      </w:pPr>
      <w:r w:rsidRPr="00FE2DD1">
        <w:t xml:space="preserve">The World Health Organization is the agency that has taken responsibility for compiling a database of statistics on access to clean and polluting fuels and technologies harvested from the full global body of household surveys for cooking, heating and lighting. </w:t>
      </w:r>
      <w:r w:rsidRPr="00D043DC">
        <w:t xml:space="preserve">Currently, the WHO Database covers cooking energy for </w:t>
      </w:r>
      <w:r w:rsidR="004B75F7">
        <w:t>175</w:t>
      </w:r>
      <w:r w:rsidR="004B75F7" w:rsidRPr="00D043DC">
        <w:t xml:space="preserve"> </w:t>
      </w:r>
      <w:r w:rsidRPr="00D043DC">
        <w:t>countries and one territory for the period 1960-20</w:t>
      </w:r>
      <w:r w:rsidR="00C17175">
        <w:t>2</w:t>
      </w:r>
      <w:r w:rsidR="00660AD1">
        <w:t>4</w:t>
      </w:r>
      <w:r w:rsidRPr="00D043DC">
        <w:t xml:space="preserve"> and is updated regularly and publicly available. For lighting, the WHO database includes data for </w:t>
      </w:r>
      <w:r w:rsidR="004B75F7">
        <w:t>133</w:t>
      </w:r>
      <w:r w:rsidR="004B75F7" w:rsidRPr="00D043DC">
        <w:t xml:space="preserve"> </w:t>
      </w:r>
      <w:r w:rsidRPr="00D043DC">
        <w:t>countries for the period 1963-20</w:t>
      </w:r>
      <w:r w:rsidR="009A307C">
        <w:t>2</w:t>
      </w:r>
      <w:r w:rsidR="00660AD1">
        <w:t>4</w:t>
      </w:r>
      <w:r w:rsidRPr="00D043DC">
        <w:t xml:space="preserve">. For heating, the WHO database includes data for </w:t>
      </w:r>
      <w:r w:rsidR="004B75F7">
        <w:t>116</w:t>
      </w:r>
      <w:r w:rsidR="004B75F7" w:rsidRPr="00D043DC">
        <w:t xml:space="preserve"> </w:t>
      </w:r>
      <w:r w:rsidRPr="00D043DC">
        <w:t>countries for the period 1977</w:t>
      </w:r>
      <w:r w:rsidR="004F7582">
        <w:t>-</w:t>
      </w:r>
      <w:r w:rsidRPr="00D043DC">
        <w:t>20</w:t>
      </w:r>
      <w:r w:rsidR="008F585E">
        <w:t>2</w:t>
      </w:r>
      <w:r w:rsidR="00660AD1">
        <w:t>4</w:t>
      </w:r>
      <w:r w:rsidRPr="00D043DC">
        <w:t>.</w:t>
      </w:r>
    </w:p>
    <w:p w14:paraId="5555850C" w14:textId="77777777" w:rsidR="00BF0B86" w:rsidRPr="00FE2DD1" w:rsidRDefault="00BF0B86" w:rsidP="00685B47">
      <w:pPr>
        <w:pStyle w:val="MText"/>
      </w:pPr>
    </w:p>
    <w:p w14:paraId="3018A8D8" w14:textId="3E4A3B1A" w:rsidR="00EC2915" w:rsidRPr="001B01CB" w:rsidRDefault="00BF0B86" w:rsidP="00685B47">
      <w:pPr>
        <w:pStyle w:val="MText"/>
      </w:pPr>
      <w:r w:rsidRPr="00F161C0">
        <w:t>Presently WHO is working with national surveying agencies, country statistical offices and other stakeholders (e.g. researchers) to enhance multipurpose household survey instruments to gather data on the fuels and technologies used for heating and lighting.</w:t>
      </w:r>
    </w:p>
    <w:p w14:paraId="73F90E03" w14:textId="77777777" w:rsidR="00227603" w:rsidRDefault="00227603" w:rsidP="00685B47">
      <w:pPr>
        <w:pStyle w:val="MText"/>
      </w:pPr>
    </w:p>
    <w:p w14:paraId="40CA2A2A" w14:textId="21E90749" w:rsidR="00035670" w:rsidRPr="00035670" w:rsidRDefault="00F67FDE" w:rsidP="00685B47">
      <w:pPr>
        <w:pStyle w:val="MText"/>
      </w:pPr>
      <w:r>
        <w:t>Since</w:t>
      </w:r>
      <w:r w:rsidRPr="00035670">
        <w:t xml:space="preserve"> </w:t>
      </w:r>
      <w:r w:rsidR="00035670" w:rsidRPr="00035670">
        <w:t>202</w:t>
      </w:r>
      <w:r w:rsidR="00C33EB5">
        <w:t>1</w:t>
      </w:r>
      <w:r w:rsidR="00035670" w:rsidRPr="00035670">
        <w:t xml:space="preserve">, </w:t>
      </w:r>
      <w:proofErr w:type="gramStart"/>
      <w:r w:rsidR="00AA2C1E">
        <w:t xml:space="preserve">as a result </w:t>
      </w:r>
      <w:r w:rsidR="00043E84">
        <w:t>of</w:t>
      </w:r>
      <w:proofErr w:type="gramEnd"/>
      <w:r w:rsidR="00043E84">
        <w:t xml:space="preserve"> a survey </w:t>
      </w:r>
      <w:r w:rsidR="002A2C13">
        <w:t xml:space="preserve">enhancement </w:t>
      </w:r>
      <w:r w:rsidR="00043E84">
        <w:t xml:space="preserve">process, </w:t>
      </w:r>
      <w:r w:rsidR="00035670" w:rsidRPr="00035670">
        <w:t xml:space="preserve">data collection for the cooking database included </w:t>
      </w:r>
      <w:r w:rsidR="00E76055">
        <w:t xml:space="preserve">main </w:t>
      </w:r>
      <w:r w:rsidR="00D22A18">
        <w:t xml:space="preserve">cooking fuel, </w:t>
      </w:r>
      <w:r w:rsidR="00035670" w:rsidRPr="00035670">
        <w:t xml:space="preserve">exhaust systems (chimney or fan), cooking technology and cooking location. </w:t>
      </w:r>
      <w:r w:rsidR="00E76055">
        <w:lastRenderedPageBreak/>
        <w:t xml:space="preserve">Lighting data collection focused on main lighting fuel. </w:t>
      </w:r>
      <w:r w:rsidR="00035670" w:rsidRPr="00035670">
        <w:t xml:space="preserve">Data collection for the heating database included </w:t>
      </w:r>
      <w:r w:rsidR="00E76055">
        <w:t xml:space="preserve">main </w:t>
      </w:r>
      <w:r w:rsidR="00D22A18">
        <w:t>heating</w:t>
      </w:r>
      <w:r w:rsidR="00E76055">
        <w:t xml:space="preserve"> fuel </w:t>
      </w:r>
      <w:r w:rsidR="00035670" w:rsidRPr="00035670">
        <w:t>as well</w:t>
      </w:r>
      <w:r w:rsidR="00D22A18">
        <w:t xml:space="preserve"> as heating </w:t>
      </w:r>
      <w:r w:rsidR="00E76055" w:rsidRPr="00035670">
        <w:t>technology</w:t>
      </w:r>
      <w:r w:rsidR="00035670" w:rsidRPr="00035670">
        <w:t>.</w:t>
      </w:r>
    </w:p>
    <w:p w14:paraId="20FD5A08" w14:textId="77777777" w:rsidR="00BF0B86" w:rsidRPr="00FE2DD1" w:rsidRDefault="00BF0B86" w:rsidP="00685B47">
      <w:pPr>
        <w:pStyle w:val="MText"/>
      </w:pPr>
    </w:p>
    <w:p w14:paraId="79368080" w14:textId="32CB9C2E" w:rsidR="008B0AC7" w:rsidRPr="00A96255" w:rsidRDefault="00576CFA" w:rsidP="00F719A8">
      <w:pPr>
        <w:pStyle w:val="MHeader2"/>
      </w:pPr>
      <w:r w:rsidRPr="00A96255">
        <w:t xml:space="preserve">3.b. Data collection method </w:t>
      </w:r>
      <w:r w:rsidRPr="007118A0">
        <w:rPr>
          <w:color w:val="B4B4B4"/>
          <w:sz w:val="20"/>
          <w:szCs w:val="22"/>
        </w:rPr>
        <w:t>(COLL_METHOD)</w:t>
      </w:r>
    </w:p>
    <w:p w14:paraId="7D9F065F" w14:textId="5ECD0CCA" w:rsidR="00EC2915" w:rsidRDefault="00C42780" w:rsidP="00576CFA">
      <w:pPr>
        <w:pStyle w:val="MText"/>
      </w:pPr>
      <w:r>
        <w:t>Surveys collected are nationally representative and contain data at household or population level.</w:t>
      </w:r>
    </w:p>
    <w:p w14:paraId="644E2B7E" w14:textId="77777777" w:rsidR="00686045" w:rsidRDefault="00686045" w:rsidP="00686045">
      <w:pPr>
        <w:pStyle w:val="MText"/>
      </w:pPr>
    </w:p>
    <w:p w14:paraId="25E75CB6" w14:textId="3B00B9D1" w:rsidR="00686045" w:rsidRDefault="00686045" w:rsidP="00686045">
      <w:pPr>
        <w:pStyle w:val="MText"/>
      </w:pPr>
      <w:r>
        <w:t xml:space="preserve">Typical cooking survey questions include: </w:t>
      </w:r>
      <w:r w:rsidR="00635E7E">
        <w:t>“M</w:t>
      </w:r>
      <w:r>
        <w:t>ajor fuel used for cooking</w:t>
      </w:r>
      <w:r w:rsidR="00635E7E">
        <w:t>”</w:t>
      </w:r>
      <w:r>
        <w:t xml:space="preserve">, </w:t>
      </w:r>
      <w:r w:rsidR="00635E7E">
        <w:t>“</w:t>
      </w:r>
      <w:r>
        <w:t>What is the main source of cooking fuel in your household?</w:t>
      </w:r>
      <w:r w:rsidR="00635E7E">
        <w:t>”,</w:t>
      </w:r>
      <w:r>
        <w:t xml:space="preserve"> </w:t>
      </w:r>
      <w:r w:rsidR="00635E7E">
        <w:t>“</w:t>
      </w:r>
      <w:r>
        <w:t>What type of fuel does your household mainly use for coo</w:t>
      </w:r>
      <w:r w:rsidR="00335C51">
        <w:t>k</w:t>
      </w:r>
      <w:r>
        <w:t>ing?</w:t>
      </w:r>
      <w:r w:rsidR="00635E7E">
        <w:t>”, “</w:t>
      </w:r>
      <w:r>
        <w:t>Which is the main source of energy for cooking?</w:t>
      </w:r>
      <w:r w:rsidR="00635E7E">
        <w:t>”, “</w:t>
      </w:r>
      <w:r>
        <w:t>In your household, what type of cookstove is mainly used for cooking?</w:t>
      </w:r>
      <w:r w:rsidR="00635E7E">
        <w:t>”.</w:t>
      </w:r>
    </w:p>
    <w:p w14:paraId="22373016" w14:textId="77777777" w:rsidR="00686045" w:rsidRDefault="00686045" w:rsidP="00686045">
      <w:pPr>
        <w:pStyle w:val="MText"/>
      </w:pPr>
    </w:p>
    <w:p w14:paraId="3A3C6E58" w14:textId="0D935076" w:rsidR="00686045" w:rsidRDefault="00686045" w:rsidP="00686045">
      <w:pPr>
        <w:pStyle w:val="MText"/>
      </w:pPr>
      <w:r>
        <w:t xml:space="preserve">Typical heating survey questions include: </w:t>
      </w:r>
      <w:r w:rsidR="00635E7E">
        <w:t>“</w:t>
      </w:r>
      <w:r>
        <w:t>Main fuel used for heating</w:t>
      </w:r>
      <w:r w:rsidR="00635E7E">
        <w:t>”</w:t>
      </w:r>
      <w:r>
        <w:t xml:space="preserve">, </w:t>
      </w:r>
      <w:r w:rsidR="00635E7E">
        <w:t>“</w:t>
      </w:r>
      <w:r>
        <w:t>Wh</w:t>
      </w:r>
      <w:r w:rsidR="00882521">
        <w:t>at</w:t>
      </w:r>
      <w:r>
        <w:t xml:space="preserve"> type of fuel and energy source is used in the heater?</w:t>
      </w:r>
      <w:r w:rsidR="00F554C8">
        <w:t>”, “</w:t>
      </w:r>
      <w:r>
        <w:t>What does your household mainly use for space heating when needed?</w:t>
      </w:r>
      <w:r w:rsidR="00F554C8">
        <w:t>”</w:t>
      </w:r>
    </w:p>
    <w:p w14:paraId="3B620235" w14:textId="77777777" w:rsidR="00686045" w:rsidRDefault="00686045" w:rsidP="00686045">
      <w:pPr>
        <w:pStyle w:val="MText"/>
      </w:pPr>
    </w:p>
    <w:p w14:paraId="64AEA85B" w14:textId="30FA5109" w:rsidR="00686045" w:rsidRDefault="00686045" w:rsidP="00686045">
      <w:pPr>
        <w:pStyle w:val="MText"/>
      </w:pPr>
      <w:r>
        <w:t xml:space="preserve">Typical lighting survey questions include: </w:t>
      </w:r>
      <w:r w:rsidR="00F554C8">
        <w:t>“</w:t>
      </w:r>
      <w:r>
        <w:t>Main fuel use for lighting</w:t>
      </w:r>
      <w:r w:rsidR="00F554C8">
        <w:t>”</w:t>
      </w:r>
      <w:r>
        <w:t xml:space="preserve">, </w:t>
      </w:r>
      <w:r w:rsidR="00F554C8">
        <w:t>“</w:t>
      </w:r>
      <w:r>
        <w:t>At night, what does your household mainly use to light the household</w:t>
      </w:r>
      <w:r w:rsidR="00761434">
        <w:t>?</w:t>
      </w:r>
      <w:r w:rsidR="00F554C8">
        <w:t>”</w:t>
      </w:r>
      <w:r>
        <w:t>.</w:t>
      </w:r>
    </w:p>
    <w:p w14:paraId="1A4AFB1B" w14:textId="77777777" w:rsidR="00C42780" w:rsidRPr="00A96255" w:rsidRDefault="00C42780" w:rsidP="00576CFA">
      <w:pPr>
        <w:pStyle w:val="MText"/>
      </w:pPr>
    </w:p>
    <w:p w14:paraId="170A2C05" w14:textId="34873ECA" w:rsidR="00E46D96" w:rsidRPr="00A96255" w:rsidRDefault="00E46D96" w:rsidP="00F719A8">
      <w:pPr>
        <w:pStyle w:val="MHeader2"/>
      </w:pPr>
      <w:r w:rsidRPr="00A96255">
        <w:t xml:space="preserve">3.c. Data collection calendar </w:t>
      </w:r>
      <w:r w:rsidRPr="007118A0">
        <w:rPr>
          <w:color w:val="B4B4B4"/>
          <w:sz w:val="20"/>
          <w:szCs w:val="22"/>
        </w:rPr>
        <w:t>(FREQ_COLL)</w:t>
      </w:r>
    </w:p>
    <w:p w14:paraId="01BA862E" w14:textId="03C92ED9" w:rsidR="00EC2915" w:rsidRPr="00E71E66" w:rsidRDefault="006920A5" w:rsidP="00E71E66">
      <w:pPr>
        <w:pStyle w:val="NormalWeb"/>
        <w:spacing w:before="0" w:beforeAutospacing="0" w:after="0" w:afterAutospacing="0"/>
        <w:rPr>
          <w:rFonts w:ascii="Calibri" w:hAnsi="Calibri"/>
          <w:color w:val="494949"/>
          <w:sz w:val="21"/>
        </w:rPr>
      </w:pPr>
      <w:r w:rsidRPr="00E71E66">
        <w:rPr>
          <w:rFonts w:ascii="Calibri" w:hAnsi="Calibri"/>
          <w:color w:val="494949"/>
          <w:sz w:val="21"/>
        </w:rPr>
        <w:t xml:space="preserve">The next round of data collection is planned for the second half of </w:t>
      </w:r>
      <w:r w:rsidRPr="00A5679E">
        <w:rPr>
          <w:rFonts w:ascii="Calibri" w:hAnsi="Calibri" w:cs="Calibri"/>
          <w:color w:val="494949"/>
          <w:sz w:val="21"/>
          <w:szCs w:val="21"/>
        </w:rPr>
        <w:t>202</w:t>
      </w:r>
      <w:r w:rsidR="002E4588">
        <w:rPr>
          <w:rFonts w:ascii="Calibri" w:hAnsi="Calibri" w:cs="Calibri"/>
          <w:color w:val="494949"/>
          <w:sz w:val="21"/>
          <w:szCs w:val="21"/>
        </w:rPr>
        <w:t>6</w:t>
      </w:r>
      <w:r w:rsidRPr="00E71E66">
        <w:rPr>
          <w:rFonts w:ascii="Calibri" w:hAnsi="Calibri"/>
          <w:color w:val="494949"/>
          <w:sz w:val="21"/>
        </w:rPr>
        <w:t>.</w:t>
      </w:r>
    </w:p>
    <w:p w14:paraId="7EFE39A4" w14:textId="77777777" w:rsidR="000D776F" w:rsidRPr="00E71E66" w:rsidRDefault="000D776F" w:rsidP="00E71E66">
      <w:pPr>
        <w:pStyle w:val="NormalWeb"/>
        <w:spacing w:before="0" w:beforeAutospacing="0" w:after="0" w:afterAutospacing="0"/>
        <w:rPr>
          <w:rFonts w:ascii="Calibri" w:hAnsi="Calibri"/>
          <w:color w:val="494949"/>
        </w:rPr>
      </w:pPr>
    </w:p>
    <w:p w14:paraId="7D466604" w14:textId="674844F0" w:rsidR="00E46D96" w:rsidRPr="00F719A8" w:rsidRDefault="00E46D96" w:rsidP="00F719A8">
      <w:pPr>
        <w:pStyle w:val="MHeader2"/>
      </w:pPr>
      <w:r w:rsidRPr="00A96255">
        <w:t xml:space="preserve">3.d. Data release calendar </w:t>
      </w:r>
      <w:r w:rsidRPr="007118A0">
        <w:rPr>
          <w:color w:val="B4B4B4"/>
          <w:sz w:val="20"/>
          <w:szCs w:val="22"/>
        </w:rPr>
        <w:t>(REL_CAL_POLICY)</w:t>
      </w:r>
    </w:p>
    <w:p w14:paraId="1E332402" w14:textId="25D64F3F" w:rsidR="000D776F" w:rsidRPr="00E71E66" w:rsidRDefault="00EA0258" w:rsidP="00E71E66">
      <w:pPr>
        <w:pStyle w:val="NormalWeb"/>
        <w:spacing w:before="0" w:beforeAutospacing="0" w:after="0" w:afterAutospacing="0"/>
        <w:rPr>
          <w:rFonts w:ascii="Calibri" w:hAnsi="Calibri"/>
          <w:color w:val="494949"/>
          <w:sz w:val="21"/>
        </w:rPr>
      </w:pPr>
      <w:r w:rsidRPr="00E71E66">
        <w:rPr>
          <w:rFonts w:ascii="Calibri" w:hAnsi="Calibri"/>
          <w:color w:val="494949"/>
          <w:sz w:val="21"/>
        </w:rPr>
        <w:t>The annual release of new data for SDG7.1.</w:t>
      </w:r>
      <w:r w:rsidR="004D1EA7">
        <w:rPr>
          <w:rFonts w:ascii="Calibri" w:hAnsi="Calibri" w:cs="Calibri"/>
          <w:color w:val="494949"/>
          <w:sz w:val="21"/>
          <w:szCs w:val="21"/>
        </w:rPr>
        <w:t>2</w:t>
      </w:r>
      <w:r w:rsidRPr="00E71E66">
        <w:rPr>
          <w:rFonts w:ascii="Calibri" w:hAnsi="Calibri"/>
          <w:color w:val="494949"/>
          <w:sz w:val="21"/>
        </w:rPr>
        <w:t xml:space="preserve"> is usually in </w:t>
      </w:r>
      <w:r w:rsidR="009B5766">
        <w:rPr>
          <w:rFonts w:ascii="Calibri" w:hAnsi="Calibri" w:cs="Calibri"/>
          <w:color w:val="494949"/>
          <w:sz w:val="21"/>
          <w:szCs w:val="21"/>
        </w:rPr>
        <w:t>April (global and regional estimates) and June (country estimates)</w:t>
      </w:r>
      <w:r w:rsidRPr="00267539">
        <w:rPr>
          <w:rFonts w:ascii="Calibri" w:hAnsi="Calibri" w:cs="Calibri"/>
          <w:color w:val="494949"/>
          <w:sz w:val="21"/>
          <w:szCs w:val="21"/>
        </w:rPr>
        <w:t>.</w:t>
      </w:r>
    </w:p>
    <w:p w14:paraId="664C4619" w14:textId="76D2180E" w:rsidR="00BF0B86" w:rsidRPr="00A96255" w:rsidRDefault="00EA0258" w:rsidP="00E71E66">
      <w:pPr>
        <w:pStyle w:val="NormalWeb"/>
        <w:spacing w:before="0" w:beforeAutospacing="0" w:after="0" w:afterAutospacing="0"/>
      </w:pPr>
      <w:r w:rsidRPr="00A5679E">
        <w:rPr>
          <w:rFonts w:ascii="Calibri" w:hAnsi="Calibri" w:cs="Calibri"/>
          <w:color w:val="494949"/>
          <w:sz w:val="21"/>
          <w:szCs w:val="21"/>
        </w:rPr>
        <w:t xml:space="preserve"> </w:t>
      </w:r>
    </w:p>
    <w:p w14:paraId="3ABA8558" w14:textId="77777777" w:rsidR="00927FEE" w:rsidRPr="007118A0" w:rsidRDefault="00927FEE" w:rsidP="000B07F8">
      <w:pPr>
        <w:pStyle w:val="MHeader2"/>
        <w:rPr>
          <w:color w:val="B4B4B4"/>
          <w:sz w:val="20"/>
          <w:szCs w:val="22"/>
        </w:rPr>
      </w:pPr>
      <w:r>
        <w:t xml:space="preserve">3.e. Data providers </w:t>
      </w:r>
      <w:r w:rsidRPr="007118A0">
        <w:rPr>
          <w:color w:val="B4B4B4"/>
          <w:sz w:val="20"/>
          <w:szCs w:val="22"/>
        </w:rPr>
        <w:t>(DATA_SOURCE)</w:t>
      </w:r>
    </w:p>
    <w:p w14:paraId="6DBC0025" w14:textId="393E3DCF" w:rsidR="00576CFA" w:rsidRPr="00FE2DD1" w:rsidRDefault="00BF0B86" w:rsidP="00685B47">
      <w:pPr>
        <w:pStyle w:val="MText"/>
      </w:pPr>
      <w:r w:rsidRPr="00FE2DD1">
        <w:t>National Statistical Offices or any national providers of household surveys and censuses.</w:t>
      </w:r>
    </w:p>
    <w:p w14:paraId="25960EA2" w14:textId="77777777" w:rsidR="00F161C0" w:rsidRPr="00FE2DD1" w:rsidRDefault="00F161C0" w:rsidP="00685B47">
      <w:pPr>
        <w:pStyle w:val="MText"/>
      </w:pPr>
    </w:p>
    <w:p w14:paraId="30DC8E05" w14:textId="484D6EC2" w:rsidR="00E46D96" w:rsidRPr="00897381" w:rsidRDefault="00E46D96" w:rsidP="00897381">
      <w:pPr>
        <w:pStyle w:val="MHeader2"/>
      </w:pPr>
      <w:r w:rsidRPr="00A96255">
        <w:t xml:space="preserve">3.f. Data compilers </w:t>
      </w:r>
      <w:r w:rsidRPr="007118A0">
        <w:rPr>
          <w:color w:val="B4B4B4"/>
          <w:sz w:val="20"/>
          <w:szCs w:val="22"/>
        </w:rPr>
        <w:t>(COMPILING_ORG)</w:t>
      </w:r>
    </w:p>
    <w:p w14:paraId="605E8F9D" w14:textId="6B244AC6" w:rsidR="00576CFA" w:rsidRPr="000B07F8" w:rsidRDefault="00BF0B86" w:rsidP="000B07F8">
      <w:pPr>
        <w:pStyle w:val="MText"/>
      </w:pPr>
      <w:r w:rsidRPr="00927FEE">
        <w:t xml:space="preserve">WHO, </w:t>
      </w:r>
      <w:r w:rsidR="007A36E9" w:rsidRPr="000B07F8">
        <w:t>Environment, Climate Change and Health</w:t>
      </w:r>
      <w:r w:rsidR="00991313" w:rsidRPr="000B07F8">
        <w:t xml:space="preserve"> Department</w:t>
      </w:r>
      <w:r w:rsidR="007A36E9" w:rsidRPr="000B07F8">
        <w:t xml:space="preserve"> </w:t>
      </w:r>
      <w:r w:rsidRPr="000B07F8">
        <w:t>(</w:t>
      </w:r>
      <w:r w:rsidR="007A36E9" w:rsidRPr="000B07F8">
        <w:t>ECH</w:t>
      </w:r>
      <w:r w:rsidRPr="000B07F8">
        <w:t>).</w:t>
      </w:r>
    </w:p>
    <w:p w14:paraId="5C43435B" w14:textId="77777777" w:rsidR="00EC2915" w:rsidRPr="00FE2DD1" w:rsidRDefault="00EC2915" w:rsidP="00897381">
      <w:pPr>
        <w:pStyle w:val="MText"/>
      </w:pPr>
    </w:p>
    <w:p w14:paraId="5655E768" w14:textId="5429F32E" w:rsidR="00E46D96" w:rsidRPr="00A96255" w:rsidRDefault="00E46D96" w:rsidP="00F719A8">
      <w:pPr>
        <w:pStyle w:val="MHeader2"/>
      </w:pPr>
      <w:r w:rsidRPr="00A96255">
        <w:t xml:space="preserve">3.g. Institutional mandate </w:t>
      </w:r>
      <w:r w:rsidRPr="007118A0">
        <w:rPr>
          <w:color w:val="B4B4B4"/>
          <w:sz w:val="20"/>
          <w:szCs w:val="22"/>
        </w:rPr>
        <w:t>(INST_MANDATE)</w:t>
      </w:r>
    </w:p>
    <w:p w14:paraId="26B863C3" w14:textId="40490EE6" w:rsidR="00576CFA" w:rsidRPr="00A96255" w:rsidRDefault="00AB6BF1" w:rsidP="00AB6BF1">
      <w:pPr>
        <w:pStyle w:val="MText"/>
      </w:pPr>
      <w:r w:rsidRPr="00AB6BF1">
        <w:t xml:space="preserve">Along with the SDG 7 custodian agencies, including the International Energy Agency (IEA), the International Renewable Energy Agency (IRENA), the United Nations Statistics Division (UNSD), and the World </w:t>
      </w:r>
      <w:r>
        <w:t>Bank</w:t>
      </w:r>
      <w:r w:rsidRPr="00AB6BF1">
        <w:t xml:space="preserve"> (</w:t>
      </w:r>
      <w:r>
        <w:t>WB</w:t>
      </w:r>
      <w:r w:rsidRPr="00AB6BF1">
        <w:t xml:space="preserve">), the </w:t>
      </w:r>
      <w:r>
        <w:t>World Health Organisation</w:t>
      </w:r>
      <w:r w:rsidRPr="00AB6BF1">
        <w:t xml:space="preserve"> is designated by the UN Statistical Commission to collect, process, and disseminate data with regional, and global aggregates, in relation to the progress in achieving the SDG 7 goals. During the process of updating and disseminating the </w:t>
      </w:r>
      <w:r>
        <w:t>clean cooking</w:t>
      </w:r>
      <w:r w:rsidRPr="00AB6BF1">
        <w:t xml:space="preserve"> </w:t>
      </w:r>
      <w:r w:rsidR="00A03B09">
        <w:t>estimates</w:t>
      </w:r>
      <w:r w:rsidRPr="00AB6BF1">
        <w:t xml:space="preserve">, the </w:t>
      </w:r>
      <w:r>
        <w:t>WHO</w:t>
      </w:r>
      <w:r w:rsidRPr="00AB6BF1">
        <w:t xml:space="preserve"> is responsible for acting in consultation with </w:t>
      </w:r>
      <w:r>
        <w:t>SDG 7 custodian agencies,</w:t>
      </w:r>
      <w:r w:rsidRPr="00AB6BF1">
        <w:t xml:space="preserve"> national statistics agencies, and the UN regional commissions.</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sidRPr="007118A0">
        <w:rPr>
          <w:color w:val="B4B4B4"/>
          <w:sz w:val="20"/>
          <w:szCs w:val="22"/>
        </w:rPr>
        <w:t>(OTHER_METHOD)</w:t>
      </w:r>
    </w:p>
    <w:p w14:paraId="1AFA5517" w14:textId="54FD9B10" w:rsidR="00AF5ED1" w:rsidRPr="00A96255" w:rsidRDefault="00576CFA" w:rsidP="00F719A8">
      <w:pPr>
        <w:pStyle w:val="MHeader2"/>
      </w:pPr>
      <w:r w:rsidRPr="00A96255">
        <w:t xml:space="preserve">4.a. Rationale </w:t>
      </w:r>
      <w:r w:rsidRPr="007118A0">
        <w:rPr>
          <w:color w:val="B4B4B4"/>
          <w:sz w:val="20"/>
          <w:szCs w:val="22"/>
        </w:rPr>
        <w:t>(RATIONALE)</w:t>
      </w:r>
    </w:p>
    <w:p w14:paraId="18EA7892" w14:textId="3F66BE2D" w:rsidR="00576CFA" w:rsidRPr="00FE2DD1" w:rsidRDefault="006800F0" w:rsidP="00897381">
      <w:pPr>
        <w:pStyle w:val="MText"/>
      </w:pPr>
      <w:r w:rsidRPr="00FA41EE">
        <w:lastRenderedPageBreak/>
        <w:t>Cooking, lighting and heating represent a large share of household energy use across the low- and middle-income countries. For cooking and heating, hous</w:t>
      </w:r>
      <w:r w:rsidRPr="00FE2DD1">
        <w:t xml:space="preserve">eholds typically rely on solid fuels (such as wood, charcoal, biomass) or kerosene paired with inefficient technologies (e.g. open fires, stoves, space heaters or lamps). It is well known that reliance on such inefficient energy for cooking, heating and lighting is associated with high levels of household (indoor) air pollution. The </w:t>
      </w:r>
      <w:r w:rsidR="00DF082D">
        <w:t xml:space="preserve">household </w:t>
      </w:r>
      <w:r w:rsidRPr="00FE2DD1">
        <w:t xml:space="preserve">use of inefficient </w:t>
      </w:r>
      <w:r w:rsidR="005C1071">
        <w:t>stoves wit</w:t>
      </w:r>
      <w:r w:rsidR="00DD089E">
        <w:t xml:space="preserve">h solid </w:t>
      </w:r>
      <w:r w:rsidRPr="00FE2DD1">
        <w:t>fuel</w:t>
      </w:r>
      <w:r w:rsidR="00DD089E">
        <w:t>s</w:t>
      </w:r>
      <w:r w:rsidR="008F653F">
        <w:t xml:space="preserve"> </w:t>
      </w:r>
      <w:r w:rsidR="00DD089E">
        <w:t>or</w:t>
      </w:r>
      <w:r w:rsidR="008F653F">
        <w:t xml:space="preserve"> </w:t>
      </w:r>
      <w:r w:rsidR="00DD089E">
        <w:t>kerosene</w:t>
      </w:r>
      <w:r w:rsidRPr="00FE2DD1">
        <w:t xml:space="preserve"> is estimated to cause over </w:t>
      </w:r>
      <w:r w:rsidR="00804DEF">
        <w:t>2.9</w:t>
      </w:r>
      <w:r w:rsidRPr="00FE2DD1">
        <w:t xml:space="preserve"> million deaths annually, mainly among women and children. This is more than T</w:t>
      </w:r>
      <w:r w:rsidR="00335C51">
        <w:t>uberculosis</w:t>
      </w:r>
      <w:r w:rsidRPr="00FE2DD1">
        <w:t>, H</w:t>
      </w:r>
      <w:r w:rsidR="00335C51">
        <w:t xml:space="preserve">uman </w:t>
      </w:r>
      <w:r w:rsidRPr="00FE2DD1">
        <w:t>I</w:t>
      </w:r>
      <w:r w:rsidR="00335C51">
        <w:t xml:space="preserve">mmuno-deficiency </w:t>
      </w:r>
      <w:r w:rsidRPr="00FE2DD1">
        <w:t>V</w:t>
      </w:r>
      <w:r w:rsidR="00335C51">
        <w:t>irus</w:t>
      </w:r>
      <w:r w:rsidRPr="00FE2DD1">
        <w:t xml:space="preserve"> and malaria combined. These adverse health impacts can be avoided by adopting clean fuels and technologies for all main household energy end-or in some circumstances by adopting advanced combustion cook stoves (i.e. those which achieve the emission rates targets provided by the WHO guidelines) and adopting strict protocols for their safe use. Given the importance of clean and safe household energy use as a human development issue, universal access to energy among the technical practitioner community is currently taken to mean access to both electricity and clean fuels and technologies for cooking, heating and lighting. For this reason, clean cooking forms part of the universal access objective under the UN Secretary General’s Sustainable Energy for All initiative.</w:t>
      </w:r>
    </w:p>
    <w:p w14:paraId="72CE329D" w14:textId="77777777" w:rsidR="006800F0" w:rsidRPr="00FE2DD1" w:rsidRDefault="006800F0" w:rsidP="00897381">
      <w:pPr>
        <w:pStyle w:val="MText"/>
      </w:pPr>
    </w:p>
    <w:p w14:paraId="2529B069" w14:textId="72FE7B49" w:rsidR="00E1050F" w:rsidRPr="00CC652D" w:rsidRDefault="00E1050F" w:rsidP="00897381">
      <w:pPr>
        <w:pStyle w:val="MHeader2"/>
      </w:pPr>
      <w:r w:rsidRPr="00A96255">
        <w:t xml:space="preserve">4.b. Comment and limitations </w:t>
      </w:r>
      <w:r w:rsidRPr="007118A0">
        <w:rPr>
          <w:color w:val="B4B4B4"/>
          <w:sz w:val="20"/>
          <w:szCs w:val="22"/>
        </w:rPr>
        <w:t>(REC_USE_LIM)</w:t>
      </w:r>
    </w:p>
    <w:p w14:paraId="190B863B" w14:textId="3F5F3B6E" w:rsidR="006800F0" w:rsidRDefault="006800F0" w:rsidP="00897381">
      <w:pPr>
        <w:pStyle w:val="MText"/>
      </w:pPr>
      <w:r w:rsidRPr="00FE2DD1">
        <w:t>The indicator uses the type of primary fuels and technologies used for cooking, heating, and lighting as a practical surrogate for estimating human exposure to household (indoor) air pollution and its related disease burden, as it is not currently possible to obtain nationally representative samples of indoor concentrations of criteria pollutants, such as fine particulate matter and carbon monoxide. However</w:t>
      </w:r>
      <w:r w:rsidR="00B86EDF">
        <w:t>,</w:t>
      </w:r>
      <w:r w:rsidRPr="00FE2DD1">
        <w:t xml:space="preserve"> epidemiological studies provide </w:t>
      </w:r>
      <w:proofErr w:type="gramStart"/>
      <w:r w:rsidRPr="00FE2DD1">
        <w:t>a science-based evidence</w:t>
      </w:r>
      <w:proofErr w:type="gramEnd"/>
      <w:r w:rsidRPr="00FE2DD1">
        <w:t xml:space="preserve"> for establishing those estimates using these surrogates.</w:t>
      </w:r>
    </w:p>
    <w:p w14:paraId="58C8DEE6" w14:textId="77777777" w:rsidR="000972C1" w:rsidRPr="00FE2DD1" w:rsidRDefault="000972C1" w:rsidP="00897381">
      <w:pPr>
        <w:pStyle w:val="MText"/>
      </w:pPr>
    </w:p>
    <w:p w14:paraId="6A294053" w14:textId="77777777" w:rsidR="006800F0" w:rsidRPr="00FE2DD1" w:rsidRDefault="006800F0" w:rsidP="00897381">
      <w:pPr>
        <w:pStyle w:val="MText"/>
      </w:pPr>
      <w:r w:rsidRPr="00FE2DD1">
        <w:t>The indicator is based on the main type of fuel and technology used for cooking as cooking occupies the largest share of overall household energy needs. However, many households use more than one type of fuel and stove for cooking and, depending on climatic and geographical conditions, heating with polluting fuels can also be a contributor to household (indoor) air pollution levels. In addition, lighting with kerosene, a very polluting and hazardous fuel is also often used, and in some countries is the main fuel used for cooking.</w:t>
      </w:r>
    </w:p>
    <w:p w14:paraId="4B95A783" w14:textId="77777777" w:rsidR="006800F0" w:rsidRPr="00FE2DD1" w:rsidRDefault="006800F0" w:rsidP="00897381">
      <w:pPr>
        <w:pStyle w:val="MText"/>
      </w:pPr>
    </w:p>
    <w:p w14:paraId="474833FE" w14:textId="57724048" w:rsidR="006800F0" w:rsidRPr="00FE2DD1" w:rsidRDefault="006800F0" w:rsidP="00897381">
      <w:pPr>
        <w:pStyle w:val="MText"/>
      </w:pPr>
      <w:r w:rsidRPr="00FE2DD1">
        <w:t xml:space="preserve">While the existing global household survey evidence base provides a good starting point for tracking household energy access for cooking fuel, it also presents limitations that will need to be addressed over time. Currently there is a limited amount of available data capturing the type of fuel and devices used in the home for heating and lighting. </w:t>
      </w:r>
      <w:r w:rsidR="000972C1" w:rsidRPr="00FE2DD1">
        <w:t>Accordingly,</w:t>
      </w:r>
      <w:r w:rsidRPr="00FE2DD1">
        <w:t xml:space="preserve"> WHO in cooperation with World Bank, and the Global Alliance for Clean Cook stoves, </w:t>
      </w:r>
      <w:r w:rsidR="00184B31">
        <w:t xml:space="preserve">led </w:t>
      </w:r>
      <w:r w:rsidRPr="00FE2DD1">
        <w:t xml:space="preserve">a survey enhancement process with representatives from country statistical offices and national household surveying agencies (e.g. Demographic and Health Survey, Multiple Indicator Cluster Survey, Living Standards Measurement Survey) to better gather efficiently and harmoniously information on the fuels and technologies for cooking, heating and lighting. </w:t>
      </w:r>
      <w:r w:rsidR="00777E56">
        <w:t xml:space="preserve"> </w:t>
      </w:r>
      <w:r w:rsidR="00524E6F">
        <w:t xml:space="preserve">The efforts concluded in the </w:t>
      </w:r>
      <w:r w:rsidR="00247E29">
        <w:t xml:space="preserve">creation of </w:t>
      </w:r>
      <w:r w:rsidR="006A6ABB">
        <w:t>6</w:t>
      </w:r>
      <w:r w:rsidR="00FF0256">
        <w:t xml:space="preserve"> new</w:t>
      </w:r>
      <w:r w:rsidR="006A6ABB">
        <w:t xml:space="preserve"> </w:t>
      </w:r>
      <w:r w:rsidRPr="00FE2DD1">
        <w:t>questions</w:t>
      </w:r>
      <w:r w:rsidR="00FF0256">
        <w:t xml:space="preserve"> that </w:t>
      </w:r>
      <w:r w:rsidRPr="00FE2DD1">
        <w:t>will replace and slightly expand the current set of questions commonly used on national multipurpose surveys to assess household energy.</w:t>
      </w:r>
    </w:p>
    <w:p w14:paraId="37FF643A" w14:textId="77777777" w:rsidR="006800F0" w:rsidRPr="00FE2DD1" w:rsidRDefault="006800F0" w:rsidP="00897381">
      <w:pPr>
        <w:pStyle w:val="MText"/>
      </w:pPr>
    </w:p>
    <w:p w14:paraId="762049F5" w14:textId="4E7D3F33" w:rsidR="00576CFA" w:rsidRPr="00FE2DD1" w:rsidRDefault="00FA0BBC" w:rsidP="00897381">
      <w:pPr>
        <w:pStyle w:val="MText"/>
      </w:pPr>
      <w:r>
        <w:t xml:space="preserve">Additionally, </w:t>
      </w:r>
      <w:r w:rsidR="006800F0" w:rsidRPr="00FE2DD1">
        <w:t xml:space="preserve">progress has already been made toward </w:t>
      </w:r>
      <w:r w:rsidR="00B525BB">
        <w:t>applying</w:t>
      </w:r>
      <w:r w:rsidR="006800F0" w:rsidRPr="00FE2DD1">
        <w:t xml:space="preserve"> a new methodology known as the Multi-Tier Framework for Measuring Energy Access (World Bank) which is able to capture the affordability and reliability of energy access explicitly referenced in the language of SDG7 and harnesses the normative guidance in the WHO guidelines to benchmark tiers of energy access. </w:t>
      </w:r>
    </w:p>
    <w:p w14:paraId="398C00AE" w14:textId="77777777" w:rsidR="00EC2915" w:rsidRPr="00FE2DD1" w:rsidRDefault="00EC2915" w:rsidP="00897381">
      <w:pPr>
        <w:pStyle w:val="MText"/>
      </w:pPr>
    </w:p>
    <w:p w14:paraId="79EEEE38" w14:textId="222125B1" w:rsidR="00E1050F" w:rsidRPr="00CC652D" w:rsidRDefault="00E1050F" w:rsidP="00897381">
      <w:pPr>
        <w:pStyle w:val="MHeader2"/>
      </w:pPr>
      <w:r w:rsidRPr="00A96255">
        <w:t xml:space="preserve">4.c. Method of computation </w:t>
      </w:r>
      <w:r w:rsidRPr="007118A0">
        <w:rPr>
          <w:color w:val="B4B4B4"/>
          <w:sz w:val="20"/>
          <w:szCs w:val="22"/>
        </w:rPr>
        <w:t>(DATA_COMP)</w:t>
      </w:r>
    </w:p>
    <w:p w14:paraId="715335E0" w14:textId="7A175FAE" w:rsidR="006800F0" w:rsidRPr="00FE2DD1" w:rsidRDefault="006800F0" w:rsidP="00897381">
      <w:pPr>
        <w:pStyle w:val="MText"/>
      </w:pPr>
      <w:r w:rsidRPr="00FE2DD1">
        <w:t xml:space="preserve">The indicator is modelled with household survey data compiled by WHO. The information on cooking fuel use and cooking practices comes from </w:t>
      </w:r>
      <w:r w:rsidR="00005C64">
        <w:t>more than</w:t>
      </w:r>
      <w:r w:rsidR="00005C64" w:rsidRPr="00FE2DD1">
        <w:t xml:space="preserve"> </w:t>
      </w:r>
      <w:r w:rsidRPr="00FE2DD1">
        <w:t>1</w:t>
      </w:r>
      <w:r w:rsidR="00DB6A93">
        <w:t>6</w:t>
      </w:r>
      <w:r w:rsidR="00005C64">
        <w:t>00</w:t>
      </w:r>
      <w:r w:rsidRPr="00FE2DD1">
        <w:t xml:space="preserve"> nationally representative survey</w:t>
      </w:r>
      <w:r w:rsidR="00A32FCB">
        <w:t>s</w:t>
      </w:r>
      <w:r w:rsidRPr="00FE2DD1">
        <w:t xml:space="preserve"> and censuses. Survey sources include Demographic and Health Surveys (DHS) and Living Standards Measurement Surveys (LSMS), Multi-Indicator Cluster Surveys (MICS), the World Health Survey (WHS), </w:t>
      </w:r>
      <w:r w:rsidR="00D41F78" w:rsidRPr="00D41F78">
        <w:t>Multi-Tier Framework Survey</w:t>
      </w:r>
      <w:r w:rsidR="00D41F78">
        <w:t xml:space="preserve"> (MTF)</w:t>
      </w:r>
      <w:r w:rsidR="00D41F78" w:rsidRPr="00D41F78">
        <w:t xml:space="preserve"> for Measuring Energy Access</w:t>
      </w:r>
      <w:r w:rsidR="00D41F78">
        <w:t xml:space="preserve"> </w:t>
      </w:r>
      <w:r w:rsidRPr="00FE2DD1">
        <w:t>and other nationally developed and implemented surveys.</w:t>
      </w:r>
    </w:p>
    <w:p w14:paraId="2046C2B2" w14:textId="77777777" w:rsidR="006800F0" w:rsidRPr="00FE2DD1" w:rsidRDefault="006800F0" w:rsidP="00897381">
      <w:pPr>
        <w:pStyle w:val="MText"/>
      </w:pPr>
    </w:p>
    <w:p w14:paraId="2CBD74AD" w14:textId="77777777" w:rsidR="00B86EDF" w:rsidRDefault="006800F0" w:rsidP="00897381">
      <w:pPr>
        <w:pStyle w:val="MText"/>
      </w:pPr>
      <w:r w:rsidRPr="00FE2DD1">
        <w:t xml:space="preserve">Estimates of primary cooking energy for the total, urban and rural population for a given country and year are obtained together using a single multivariate hierarchical model. Using household survey data as inputs, the model jointly estimates primary reliance on 6 specific fuel types: </w:t>
      </w:r>
    </w:p>
    <w:p w14:paraId="431C8998" w14:textId="6B378191" w:rsidR="00B86EDF" w:rsidRDefault="006800F0" w:rsidP="00267539">
      <w:pPr>
        <w:pStyle w:val="MText"/>
        <w:numPr>
          <w:ilvl w:val="0"/>
          <w:numId w:val="6"/>
        </w:numPr>
      </w:pPr>
      <w:r w:rsidRPr="00FE2DD1">
        <w:t xml:space="preserve">unprocessed biomass (e.g. wood), </w:t>
      </w:r>
    </w:p>
    <w:p w14:paraId="3BE30E91" w14:textId="4B727E54" w:rsidR="00B86EDF" w:rsidRDefault="006800F0" w:rsidP="00267539">
      <w:pPr>
        <w:pStyle w:val="MText"/>
        <w:numPr>
          <w:ilvl w:val="0"/>
          <w:numId w:val="6"/>
        </w:numPr>
      </w:pPr>
      <w:r w:rsidRPr="00FE2DD1">
        <w:t xml:space="preserve">charcoal, </w:t>
      </w:r>
    </w:p>
    <w:p w14:paraId="0C0BE8EB" w14:textId="026530AA" w:rsidR="00B86EDF" w:rsidRDefault="006800F0" w:rsidP="00267539">
      <w:pPr>
        <w:pStyle w:val="MText"/>
        <w:numPr>
          <w:ilvl w:val="0"/>
          <w:numId w:val="6"/>
        </w:numPr>
      </w:pPr>
      <w:r w:rsidRPr="00FE2DD1">
        <w:t xml:space="preserve">coal, </w:t>
      </w:r>
    </w:p>
    <w:p w14:paraId="7270A3CA" w14:textId="7F089C8E" w:rsidR="00B86EDF" w:rsidRDefault="006800F0" w:rsidP="00267539">
      <w:pPr>
        <w:pStyle w:val="MText"/>
        <w:numPr>
          <w:ilvl w:val="0"/>
          <w:numId w:val="6"/>
        </w:numPr>
      </w:pPr>
      <w:r w:rsidRPr="00FE2DD1">
        <w:t xml:space="preserve">kerosene, </w:t>
      </w:r>
    </w:p>
    <w:p w14:paraId="06AF4EEE" w14:textId="086AF9A4" w:rsidR="00B86EDF" w:rsidRDefault="006800F0" w:rsidP="00267539">
      <w:pPr>
        <w:pStyle w:val="MText"/>
        <w:numPr>
          <w:ilvl w:val="0"/>
          <w:numId w:val="6"/>
        </w:numPr>
      </w:pPr>
      <w:r w:rsidRPr="00FE2DD1">
        <w:t xml:space="preserve">gaseous fuels (e.g. LPG), and </w:t>
      </w:r>
    </w:p>
    <w:p w14:paraId="0A4BD306" w14:textId="0AF7AAF9" w:rsidR="00B86EDF" w:rsidRDefault="006800F0" w:rsidP="00267539">
      <w:pPr>
        <w:pStyle w:val="MText"/>
        <w:numPr>
          <w:ilvl w:val="0"/>
          <w:numId w:val="6"/>
        </w:numPr>
      </w:pPr>
      <w:r w:rsidRPr="00FE2DD1">
        <w:t xml:space="preserve">electricity; and a final category including other clean fuels (e.g. alcohol). </w:t>
      </w:r>
    </w:p>
    <w:p w14:paraId="55A7E4EE" w14:textId="5A66D43E" w:rsidR="006800F0" w:rsidRPr="00FE2DD1" w:rsidRDefault="006800F0" w:rsidP="00897381">
      <w:pPr>
        <w:pStyle w:val="MText"/>
      </w:pPr>
      <w:r w:rsidRPr="00FE2DD1">
        <w:t>Estimates of th</w:t>
      </w:r>
      <w:r w:rsidRPr="00E968AB">
        <w:t xml:space="preserve">e proportion of the population with primary reliance on clean fuels and technology (SDG indicator 7.1.2) are then derived by aggregating the estimates for primary reliance on clean fuel types from the model. Details on the model are published </w:t>
      </w:r>
      <w:r w:rsidRPr="00D86704">
        <w:t>in Stoner et al. (</w:t>
      </w:r>
      <w:r w:rsidR="00C513BE">
        <w:t>2020</w:t>
      </w:r>
      <w:r w:rsidRPr="00D86704">
        <w:t>).</w:t>
      </w:r>
    </w:p>
    <w:p w14:paraId="25065621" w14:textId="77777777" w:rsidR="006800F0" w:rsidRPr="00FE2DD1" w:rsidRDefault="006800F0" w:rsidP="00897381">
      <w:pPr>
        <w:pStyle w:val="MText"/>
      </w:pPr>
    </w:p>
    <w:p w14:paraId="6A89839E" w14:textId="34108C1C" w:rsidR="00576CFA" w:rsidRDefault="006800F0" w:rsidP="00897381">
      <w:pPr>
        <w:pStyle w:val="MText"/>
      </w:pPr>
      <w:r w:rsidRPr="00FE2DD1">
        <w:t xml:space="preserve">Only survey data with less than 15% of the population reporting “missing” and “no cooking” and “other fuels” were included in the analysis. </w:t>
      </w:r>
      <w:r w:rsidR="002F3D3E" w:rsidRPr="002F3D3E">
        <w:t>Surveys were also discarded if the sum of all mutually exclusive categories reported was not within 9</w:t>
      </w:r>
      <w:r w:rsidR="00E630F5">
        <w:t>8</w:t>
      </w:r>
      <w:r w:rsidR="002F3D3E" w:rsidRPr="002F3D3E">
        <w:t>-102%. Fuel use values were uniformly scaled (divided) by the sum of all mutually exclusive categories excluding “missing”, “no cooking” and “other fuels”</w:t>
      </w:r>
      <w:r w:rsidR="00264249">
        <w:t>.</w:t>
      </w:r>
      <w:r w:rsidR="00F36A6C">
        <w:t xml:space="preserve"> </w:t>
      </w:r>
      <w:r w:rsidR="00A726E6">
        <w:t>E</w:t>
      </w:r>
      <w:r w:rsidRPr="00FE2DD1">
        <w:t xml:space="preserve">stimates </w:t>
      </w:r>
      <w:r w:rsidR="00FD5052">
        <w:t>o</w:t>
      </w:r>
      <w:r w:rsidRPr="00FE2DD1">
        <w:t xml:space="preserve">f overall clean fuel use </w:t>
      </w:r>
      <w:r w:rsidR="001A03D2">
        <w:t>are</w:t>
      </w:r>
      <w:r w:rsidR="001A03D2" w:rsidRPr="00FE2DD1">
        <w:t xml:space="preserve"> </w:t>
      </w:r>
      <w:r w:rsidRPr="00FE2DD1">
        <w:t>reported for 19</w:t>
      </w:r>
      <w:r w:rsidR="00EA6702">
        <w:t>7</w:t>
      </w:r>
      <w:r w:rsidRPr="00FE2DD1">
        <w:t xml:space="preserve"> countries.</w:t>
      </w:r>
      <w:r w:rsidR="00FD4552">
        <w:t xml:space="preserve"> Note that, prior to</w:t>
      </w:r>
      <w:r w:rsidR="00E80436">
        <w:t xml:space="preserve"> the</w:t>
      </w:r>
      <w:r w:rsidR="00FD4552">
        <w:t xml:space="preserve"> 202</w:t>
      </w:r>
      <w:r w:rsidR="00B44502">
        <w:t>6 model</w:t>
      </w:r>
      <w:r w:rsidR="00FD4552">
        <w:t xml:space="preserve">, </w:t>
      </w:r>
      <w:r w:rsidR="003843E4">
        <w:t xml:space="preserve">high-income countries were assumed to have fully transitioned to clean household energy and access to clean fuels and technologies was reported </w:t>
      </w:r>
      <w:r w:rsidR="00970F90">
        <w:t xml:space="preserve">as 100%. The data series has since been revised with modelled estimates for high-income countries (see </w:t>
      </w:r>
      <w:r w:rsidR="00F802C0">
        <w:t>“Changes in modelling methodology”).</w:t>
      </w:r>
    </w:p>
    <w:p w14:paraId="1EADF14F" w14:textId="77777777" w:rsidR="002F6CE2" w:rsidRDefault="002F6CE2" w:rsidP="00897381">
      <w:pPr>
        <w:pStyle w:val="MText"/>
      </w:pPr>
    </w:p>
    <w:p w14:paraId="7B19E094" w14:textId="02FC1CCD" w:rsidR="002F6CE2" w:rsidRPr="00FE2DD1" w:rsidRDefault="002F6CE2" w:rsidP="00897381">
      <w:pPr>
        <w:pStyle w:val="MText"/>
      </w:pPr>
      <w:r w:rsidRPr="002F6CE2">
        <w:t xml:space="preserve">Estimates of clean cooking access are updated on an annual basis for the whole time series (e.g. </w:t>
      </w:r>
      <w:r w:rsidR="005F2B5B">
        <w:t>2000</w:t>
      </w:r>
      <w:r w:rsidRPr="002F6CE2">
        <w:t>-202</w:t>
      </w:r>
      <w:r w:rsidR="001A03D2">
        <w:t>4</w:t>
      </w:r>
      <w:r w:rsidRPr="002F6CE2">
        <w:t>). This means that there may be changes in previous annual estimates due to the inclusion of new data points influencing the overall trend for a given country.</w:t>
      </w:r>
    </w:p>
    <w:p w14:paraId="56BAE827" w14:textId="77777777" w:rsidR="006800F0" w:rsidRPr="00FE2DD1" w:rsidRDefault="006800F0" w:rsidP="00897381">
      <w:pPr>
        <w:pStyle w:val="MText"/>
      </w:pPr>
    </w:p>
    <w:p w14:paraId="514CE3C0" w14:textId="3F3F7A53" w:rsidR="00E1050F" w:rsidRPr="00A96255" w:rsidRDefault="00576CFA" w:rsidP="00F719A8">
      <w:pPr>
        <w:pStyle w:val="MHeader2"/>
      </w:pPr>
      <w:r w:rsidRPr="00A96255">
        <w:t xml:space="preserve">4.d. Validation </w:t>
      </w:r>
      <w:r w:rsidRPr="007118A0">
        <w:rPr>
          <w:color w:val="B4B4B4"/>
          <w:sz w:val="20"/>
          <w:szCs w:val="22"/>
        </w:rPr>
        <w:t>(DATA_VALIDATION)</w:t>
      </w:r>
    </w:p>
    <w:p w14:paraId="49CB8337" w14:textId="0B07BC88" w:rsidR="00EC2915" w:rsidRDefault="003F3D05" w:rsidP="00576CFA">
      <w:pPr>
        <w:pStyle w:val="MText"/>
      </w:pPr>
      <w:r>
        <w:t xml:space="preserve">Countries are consulted </w:t>
      </w:r>
      <w:r w:rsidR="00CB22D2">
        <w:t>annually</w:t>
      </w:r>
      <w:r>
        <w:t xml:space="preserve"> on the </w:t>
      </w:r>
      <w:r w:rsidR="00784AA0">
        <w:t xml:space="preserve">national data </w:t>
      </w:r>
      <w:r w:rsidR="00FB3077">
        <w:t>collected for the 7.1.2 SDG indicator.</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sidRPr="007118A0">
        <w:rPr>
          <w:color w:val="B4B4B4"/>
          <w:sz w:val="20"/>
          <w:szCs w:val="22"/>
        </w:rPr>
        <w:t>(ADJUSTMENT)</w:t>
      </w:r>
    </w:p>
    <w:p w14:paraId="2FE391CB" w14:textId="77777777" w:rsidR="00EC2915" w:rsidRDefault="002C6726" w:rsidP="00576CFA">
      <w:pPr>
        <w:pStyle w:val="MText"/>
      </w:pPr>
      <w:r>
        <w:t>Not applicable</w:t>
      </w:r>
    </w:p>
    <w:p w14:paraId="31DB357F" w14:textId="77777777" w:rsidR="00EA0AD0" w:rsidRPr="00A96255" w:rsidRDefault="00EA0AD0"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sidRPr="007118A0">
        <w:rPr>
          <w:color w:val="B4B4B4"/>
          <w:sz w:val="20"/>
          <w:szCs w:val="22"/>
        </w:rPr>
        <w:t>(IMPUTATION)</w:t>
      </w:r>
    </w:p>
    <w:p w14:paraId="4B09DDA8" w14:textId="1A8764B7" w:rsidR="00FC7DEC" w:rsidRPr="00F42189" w:rsidRDefault="006800F0" w:rsidP="00CC652D">
      <w:pPr>
        <w:pStyle w:val="MText"/>
        <w:rPr>
          <w:b/>
        </w:rPr>
      </w:pPr>
      <w:r w:rsidRPr="00F42189">
        <w:rPr>
          <w:b/>
        </w:rPr>
        <w:t>•</w:t>
      </w:r>
      <w:r w:rsidRPr="00F42189">
        <w:rPr>
          <w:b/>
        </w:rPr>
        <w:tab/>
      </w:r>
      <w:r w:rsidR="00F161C0" w:rsidRPr="00F42189">
        <w:rPr>
          <w:b/>
        </w:rPr>
        <w:t>At country level</w:t>
      </w:r>
    </w:p>
    <w:p w14:paraId="08022D42" w14:textId="6827875C" w:rsidR="00DC75E6" w:rsidRDefault="00F92AAD" w:rsidP="00CC652D">
      <w:pPr>
        <w:pStyle w:val="MText"/>
      </w:pPr>
      <w:r>
        <w:lastRenderedPageBreak/>
        <w:t>Missing values for individual fuels within a survey are automatically imputed by the model (Stoner et al.</w:t>
      </w:r>
      <w:r w:rsidR="00C07A6A">
        <w:t>,</w:t>
      </w:r>
      <w:r>
        <w:t xml:space="preserve"> </w:t>
      </w:r>
      <w:r w:rsidR="008A7C1C">
        <w:t>2020</w:t>
      </w:r>
      <w:r>
        <w:t>).</w:t>
      </w:r>
      <w:r w:rsidR="00DC75E6">
        <w:t xml:space="preserve"> For surveys where fuel use is only reported </w:t>
      </w:r>
      <w:r w:rsidR="00156E93">
        <w:t>for the whole population (i.e. with no urban or rural disaggregation)</w:t>
      </w:r>
      <w:r w:rsidR="00835C9C">
        <w:t>, the urban and rural values are automatically imputed by the model (Stoner et al.</w:t>
      </w:r>
      <w:r w:rsidR="00C07A6A">
        <w:t>,</w:t>
      </w:r>
      <w:r w:rsidR="00835C9C">
        <w:t xml:space="preserve"> </w:t>
      </w:r>
      <w:r w:rsidR="008A7C1C">
        <w:t>2020</w:t>
      </w:r>
      <w:r w:rsidR="00835C9C">
        <w:t>).</w:t>
      </w:r>
    </w:p>
    <w:p w14:paraId="15DDC04F" w14:textId="77777777" w:rsidR="006800F0" w:rsidRPr="00FE2DD1" w:rsidRDefault="006800F0" w:rsidP="00CC652D">
      <w:pPr>
        <w:pStyle w:val="MText"/>
      </w:pPr>
    </w:p>
    <w:p w14:paraId="233C3B1F" w14:textId="7DA8B938" w:rsidR="006800F0" w:rsidRPr="00FE2DD1" w:rsidRDefault="00835C9C" w:rsidP="00CC652D">
      <w:pPr>
        <w:pStyle w:val="MText"/>
      </w:pPr>
      <w:r>
        <w:t>All central estimates are reported alongside measures of uncertainty. Where countries have very limited survey data (e.g. only one survey suitable for modelling within 1990-</w:t>
      </w:r>
      <w:r w:rsidR="008D2313">
        <w:t>202</w:t>
      </w:r>
      <w:r w:rsidR="00F36A6C">
        <w:t>4</w:t>
      </w:r>
      <w:r>
        <w:t xml:space="preserve">), the </w:t>
      </w:r>
      <w:r w:rsidR="00081218">
        <w:t>measures of uncertainty are naturally wider</w:t>
      </w:r>
      <w:r w:rsidR="00F01316">
        <w:t xml:space="preserve"> </w:t>
      </w:r>
      <w:r w:rsidR="00F01316" w:rsidRPr="00F01316">
        <w:t>for 202</w:t>
      </w:r>
      <w:r w:rsidR="007968FE">
        <w:t>4</w:t>
      </w:r>
      <w:r w:rsidR="00F01316" w:rsidRPr="00F01316">
        <w:t xml:space="preserve"> and preceding years. For countries with very wide uncertainty intervals, point estimates should be treated with some caution</w:t>
      </w:r>
      <w:r w:rsidR="00081218">
        <w:t xml:space="preserve">. </w:t>
      </w:r>
    </w:p>
    <w:p w14:paraId="58B4E0D6" w14:textId="77777777" w:rsidR="006800F0" w:rsidRPr="00FE2DD1" w:rsidRDefault="006800F0" w:rsidP="00CC652D">
      <w:pPr>
        <w:pStyle w:val="MText"/>
      </w:pPr>
    </w:p>
    <w:p w14:paraId="2E226402" w14:textId="77777777" w:rsidR="006800F0" w:rsidRPr="00F42189" w:rsidRDefault="006800F0" w:rsidP="00CC652D">
      <w:pPr>
        <w:pStyle w:val="MText"/>
        <w:rPr>
          <w:b/>
        </w:rPr>
      </w:pPr>
      <w:r w:rsidRPr="00F42189">
        <w:rPr>
          <w:b/>
        </w:rPr>
        <w:t>•</w:t>
      </w:r>
      <w:r w:rsidRPr="00F42189">
        <w:rPr>
          <w:b/>
        </w:rPr>
        <w:tab/>
        <w:t>At regional and global levels</w:t>
      </w:r>
    </w:p>
    <w:p w14:paraId="66354D04" w14:textId="6CC1E7EB" w:rsidR="00081218" w:rsidRPr="00FE2DD1" w:rsidRDefault="00081218" w:rsidP="00CC652D">
      <w:pPr>
        <w:pStyle w:val="MText"/>
      </w:pPr>
      <w:r w:rsidRPr="00FE2DD1">
        <w:t>Low- and middle-income countries with no data were excluded from regional and global aggregations</w:t>
      </w:r>
      <w:r w:rsidR="00E6166B">
        <w:t>.</w:t>
      </w:r>
    </w:p>
    <w:p w14:paraId="27033367" w14:textId="77777777" w:rsidR="00EC2915" w:rsidRPr="00CC652D" w:rsidRDefault="00EC2915" w:rsidP="00CC652D">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sidRPr="007118A0">
        <w:rPr>
          <w:color w:val="B4B4B4"/>
          <w:sz w:val="20"/>
          <w:szCs w:val="22"/>
        </w:rPr>
        <w:t>(REG_AGG)</w:t>
      </w:r>
    </w:p>
    <w:p w14:paraId="60E59698" w14:textId="58886C33" w:rsidR="007519D8" w:rsidRPr="00FE2DD1" w:rsidRDefault="006800F0" w:rsidP="00CC652D">
      <w:pPr>
        <w:pStyle w:val="MText"/>
      </w:pPr>
      <w:r w:rsidRPr="00FE2DD1">
        <w:t>Regional and global estimates are population-</w:t>
      </w:r>
      <w:r w:rsidR="0082011E" w:rsidRPr="00FE2DD1">
        <w:t>weighted</w:t>
      </w:r>
      <w:r w:rsidR="00E36C94">
        <w:t>;</w:t>
      </w:r>
      <w:r w:rsidRPr="00FE2DD1">
        <w:t xml:space="preserve"> </w:t>
      </w:r>
      <w:r w:rsidR="00E308C4">
        <w:t>within a region</w:t>
      </w:r>
      <w:r w:rsidR="00C07A6A">
        <w:t>,</w:t>
      </w:r>
      <w:r w:rsidR="00E308C4">
        <w:t xml:space="preserve"> </w:t>
      </w:r>
      <w:r w:rsidRPr="00FE2DD1">
        <w:t xml:space="preserve">the country </w:t>
      </w:r>
      <w:r w:rsidR="00E308C4">
        <w:t xml:space="preserve">values are </w:t>
      </w:r>
      <w:r w:rsidRPr="00FE2DD1">
        <w:t xml:space="preserve">multiplied by </w:t>
      </w:r>
      <w:r w:rsidR="00E308C4">
        <w:t xml:space="preserve">the corresponding country </w:t>
      </w:r>
      <w:r w:rsidRPr="00FE2DD1">
        <w:t>population</w:t>
      </w:r>
      <w:r w:rsidR="00E308C4">
        <w:t xml:space="preserve">s to obtain weighted </w:t>
      </w:r>
      <w:r w:rsidR="00E36C94">
        <w:t>fuel values</w:t>
      </w:r>
      <w:r w:rsidR="00E308C4">
        <w:t>.</w:t>
      </w:r>
      <w:r w:rsidRPr="00FE2DD1">
        <w:t xml:space="preserve"> </w:t>
      </w:r>
      <w:r w:rsidR="00E308C4">
        <w:t>T</w:t>
      </w:r>
      <w:r w:rsidRPr="00FE2DD1">
        <w:t>h</w:t>
      </w:r>
      <w:r w:rsidR="00E308C4">
        <w:t>e</w:t>
      </w:r>
      <w:r w:rsidR="00E36C94">
        <w:t>se values are then summed</w:t>
      </w:r>
      <w:r w:rsidR="007519D8">
        <w:t xml:space="preserve"> and</w:t>
      </w:r>
      <w:r w:rsidR="00E36C94">
        <w:t xml:space="preserve"> </w:t>
      </w:r>
      <w:r w:rsidRPr="00FE2DD1">
        <w:t>divided by the sum of the population of the countries included.</w:t>
      </w:r>
      <w:r w:rsidR="00AB667F">
        <w:t xml:space="preserve"> </w:t>
      </w:r>
      <w:r w:rsidR="007519D8" w:rsidRPr="00FE2DD1">
        <w:t>Low- and middle-income countries with no data were excluded from regional and global aggregations</w:t>
      </w:r>
      <w:r w:rsidR="00AB667F">
        <w:t>.</w:t>
      </w:r>
    </w:p>
    <w:p w14:paraId="2EA010B7" w14:textId="77777777" w:rsidR="00EC2915" w:rsidRPr="00FE2DD1" w:rsidRDefault="00EC2915" w:rsidP="00CC652D">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sidRPr="007118A0">
        <w:rPr>
          <w:color w:val="B4B4B4"/>
          <w:sz w:val="20"/>
          <w:szCs w:val="22"/>
        </w:rPr>
        <w:t>(DOC_METHOD)</w:t>
      </w:r>
    </w:p>
    <w:p w14:paraId="33A926DF" w14:textId="77777777" w:rsidR="00576CFA" w:rsidRPr="00A96255" w:rsidRDefault="00BC4D83" w:rsidP="00576CFA">
      <w:pPr>
        <w:pStyle w:val="MText"/>
      </w:pPr>
      <w:r>
        <w:t>Not applicable</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sidRPr="007118A0">
        <w:rPr>
          <w:color w:val="B4B4B4"/>
          <w:sz w:val="20"/>
          <w:szCs w:val="22"/>
        </w:rPr>
        <w:t>(QUALITY_MGMNT)</w:t>
      </w:r>
    </w:p>
    <w:p w14:paraId="4652A7BF" w14:textId="36B3E7E3" w:rsidR="00882EC5" w:rsidRDefault="00847CC2" w:rsidP="00E71E66">
      <w:pPr>
        <w:pStyle w:val="MText"/>
      </w:pPr>
      <w:r>
        <w:rPr>
          <w:lang w:val="en-US"/>
        </w:rPr>
        <w:t xml:space="preserve">The </w:t>
      </w:r>
      <w:r w:rsidR="00270271">
        <w:rPr>
          <w:lang w:val="en-US"/>
        </w:rPr>
        <w:t xml:space="preserve">input </w:t>
      </w:r>
      <w:r>
        <w:rPr>
          <w:lang w:val="en-US"/>
        </w:rPr>
        <w:t xml:space="preserve">data </w:t>
      </w:r>
      <w:r w:rsidR="00270271">
        <w:rPr>
          <w:lang w:val="en-US"/>
        </w:rPr>
        <w:t xml:space="preserve">for </w:t>
      </w:r>
      <w:r w:rsidR="00270271" w:rsidRPr="00FE2DD1">
        <w:t>single multivariate hierarchical model</w:t>
      </w:r>
      <w:r w:rsidR="00215600">
        <w:t xml:space="preserve"> used to estimate </w:t>
      </w:r>
      <w:r w:rsidR="00CD0583">
        <w:t xml:space="preserve">the </w:t>
      </w:r>
      <w:r w:rsidR="00D600B2">
        <w:t>access to clean cooking</w:t>
      </w:r>
      <w:r w:rsidR="00256624">
        <w:t xml:space="preserve"> </w:t>
      </w:r>
      <w:r w:rsidR="00256624" w:rsidRPr="00256624">
        <w:t>presents some challenges that are related to inconsistencies in both the quality and the quantity of information that is available from the surveys</w:t>
      </w:r>
      <w:r w:rsidR="00882EC5">
        <w:t>:</w:t>
      </w:r>
    </w:p>
    <w:p w14:paraId="29B2C054" w14:textId="77777777" w:rsidR="005117E2" w:rsidRDefault="00882EC5" w:rsidP="00E71E66">
      <w:pPr>
        <w:pStyle w:val="MText"/>
        <w:numPr>
          <w:ilvl w:val="0"/>
          <w:numId w:val="11"/>
        </w:numPr>
      </w:pPr>
      <w:r w:rsidRPr="00882EC5">
        <w:t>inconsistency in survey design and collection, together with missing values, which can lead to highly unstable time series for some individual fuels in some countries</w:t>
      </w:r>
      <w:r w:rsidR="005117E2">
        <w:t>,</w:t>
      </w:r>
    </w:p>
    <w:p w14:paraId="16920718" w14:textId="77777777" w:rsidR="005117E2" w:rsidRPr="005117E2" w:rsidRDefault="005117E2" w:rsidP="00E71E66">
      <w:pPr>
        <w:pStyle w:val="MText"/>
        <w:numPr>
          <w:ilvl w:val="0"/>
          <w:numId w:val="11"/>
        </w:numPr>
      </w:pPr>
      <w:r>
        <w:rPr>
          <w:lang w:val="en-US"/>
        </w:rPr>
        <w:t>f</w:t>
      </w:r>
      <w:r w:rsidR="00A523A8" w:rsidRPr="005117E2">
        <w:t xml:space="preserve">or surveys where </w:t>
      </w:r>
      <w:r w:rsidR="00A523A8" w:rsidRPr="005117E2">
        <w:rPr>
          <w:lang w:val="en-US"/>
        </w:rPr>
        <w:t>the number of respondents</w:t>
      </w:r>
      <w:r w:rsidR="00A523A8" w:rsidRPr="005117E2">
        <w:t xml:space="preserve"> is not available, only the proportions using each fuel are given and the original counts (the number of respondents using each fuel) are non-recoverable.</w:t>
      </w:r>
    </w:p>
    <w:p w14:paraId="3799BB39" w14:textId="7B26E14E" w:rsidR="006B7C59" w:rsidRPr="005117E2" w:rsidRDefault="005117E2" w:rsidP="00E71E66">
      <w:pPr>
        <w:pStyle w:val="MText"/>
        <w:numPr>
          <w:ilvl w:val="0"/>
          <w:numId w:val="11"/>
        </w:numPr>
      </w:pPr>
      <w:r>
        <w:t>i</w:t>
      </w:r>
      <w:r w:rsidR="006B7C59" w:rsidRPr="005117E2">
        <w:t>nformation on trends in the use of specific fuels is required for both urban and rural areas but, in many cases, surveys provide data for only the overall population</w:t>
      </w:r>
      <w:r w:rsidR="006B7C59" w:rsidRPr="005117E2">
        <w:rPr>
          <w:lang w:val="en-US"/>
        </w:rPr>
        <w:t xml:space="preserve"> (Stoner et al., 2020)</w:t>
      </w:r>
      <w:r w:rsidR="006B7C59" w:rsidRPr="0041402F">
        <w:t>.</w:t>
      </w:r>
    </w:p>
    <w:p w14:paraId="1523BEDD" w14:textId="04ABCB74" w:rsidR="00534330" w:rsidRPr="00E36351" w:rsidRDefault="000A5672" w:rsidP="00E71E66">
      <w:pPr>
        <w:pStyle w:val="MText"/>
      </w:pPr>
      <w:r>
        <w:rPr>
          <w:lang w:val="en-US"/>
        </w:rPr>
        <w:t xml:space="preserve">Therefore, several adjustments are included in the model </w:t>
      </w:r>
      <w:r w:rsidR="00EF79A0">
        <w:rPr>
          <w:lang w:val="en-US"/>
        </w:rPr>
        <w:t>to</w:t>
      </w:r>
      <w:r>
        <w:rPr>
          <w:lang w:val="en-US"/>
        </w:rPr>
        <w:t xml:space="preserve"> tackle the observed challenges coming from the source data</w:t>
      </w:r>
      <w:r w:rsidR="00671406">
        <w:rPr>
          <w:lang w:val="en-US"/>
        </w:rPr>
        <w:t xml:space="preserve"> </w:t>
      </w:r>
      <w:r w:rsidR="00671406" w:rsidRPr="005117E2">
        <w:rPr>
          <w:lang w:val="en-US"/>
        </w:rPr>
        <w:t>(</w:t>
      </w:r>
      <w:r w:rsidR="00DE3E5D">
        <w:rPr>
          <w:lang w:val="en-US"/>
        </w:rPr>
        <w:t xml:space="preserve">for </w:t>
      </w:r>
      <w:r>
        <w:rPr>
          <w:lang w:val="en-US"/>
        </w:rPr>
        <w:t>more on this</w:t>
      </w:r>
      <w:r w:rsidR="00DE3E5D">
        <w:rPr>
          <w:lang w:val="en-US"/>
        </w:rPr>
        <w:t xml:space="preserve"> see</w:t>
      </w:r>
      <w:r>
        <w:rPr>
          <w:lang w:val="en-US"/>
        </w:rPr>
        <w:t xml:space="preserve"> </w:t>
      </w:r>
      <w:r w:rsidR="00671406" w:rsidRPr="005117E2">
        <w:rPr>
          <w:lang w:val="en-US"/>
        </w:rPr>
        <w:t>Stoner et al., 2020)</w:t>
      </w:r>
      <w:r w:rsidR="00970730" w:rsidRPr="00970730">
        <w:rPr>
          <w:lang w:val="en-US"/>
        </w:rPr>
        <w:t>.</w:t>
      </w:r>
    </w:p>
    <w:p w14:paraId="5484B16D" w14:textId="77777777" w:rsidR="00EC2915" w:rsidRPr="00A96255" w:rsidRDefault="00EC2915" w:rsidP="00576CFA">
      <w:pPr>
        <w:pStyle w:val="MText"/>
      </w:pPr>
    </w:p>
    <w:p w14:paraId="6FD714A0" w14:textId="51ADB8DC" w:rsidR="000D776F" w:rsidRDefault="00576CFA" w:rsidP="00D73AE4">
      <w:pPr>
        <w:pStyle w:val="MHeader2"/>
      </w:pPr>
      <w:r w:rsidRPr="00A96255">
        <w:t xml:space="preserve">4.j Quality assurance </w:t>
      </w:r>
      <w:r w:rsidRPr="007118A0">
        <w:rPr>
          <w:color w:val="B4B4B4"/>
          <w:sz w:val="20"/>
          <w:szCs w:val="22"/>
        </w:rPr>
        <w:t>(QUALITY_ASSURE)</w:t>
      </w:r>
    </w:p>
    <w:p w14:paraId="4D211ED1" w14:textId="3D79C522" w:rsidR="000D776F" w:rsidRPr="00E71E66" w:rsidRDefault="000D776F" w:rsidP="00E71E66">
      <w:pPr>
        <w:pStyle w:val="NormalWeb"/>
        <w:shd w:val="clear" w:color="auto" w:fill="FFFFFF"/>
        <w:spacing w:before="0" w:beforeAutospacing="0" w:after="0" w:afterAutospacing="0"/>
        <w:rPr>
          <w:rFonts w:ascii="Calibri" w:hAnsi="Calibri"/>
          <w:color w:val="494949"/>
          <w:sz w:val="21"/>
          <w:lang w:val="en-US"/>
        </w:rPr>
      </w:pPr>
      <w:r w:rsidRPr="00E71E66">
        <w:rPr>
          <w:rFonts w:ascii="Calibri" w:hAnsi="Calibri"/>
          <w:color w:val="494949"/>
          <w:sz w:val="21"/>
          <w:lang w:val="en-US"/>
        </w:rPr>
        <w:t>Before finalizing clean cooking estimates, the WHO team contacts the UN regional commissions asking for reviews and suggestions for the prepared figures. The data also goes through multiple rounds of internal consultations with SDG 7 custodian agencies</w:t>
      </w:r>
      <w:r w:rsidR="00A31C2B" w:rsidRPr="00E71E66">
        <w:rPr>
          <w:rFonts w:ascii="Calibri" w:hAnsi="Calibri"/>
          <w:color w:val="494949"/>
          <w:sz w:val="21"/>
          <w:lang w:val="en-US"/>
        </w:rPr>
        <w:t>.</w:t>
      </w:r>
    </w:p>
    <w:p w14:paraId="7E7EB107" w14:textId="36E0120C" w:rsidR="00A31C2B" w:rsidRPr="00E71E66" w:rsidRDefault="00A31C2B" w:rsidP="00E71E66">
      <w:pPr>
        <w:pStyle w:val="NormalWeb"/>
        <w:shd w:val="clear" w:color="auto" w:fill="FFFFFF"/>
        <w:spacing w:before="0" w:beforeAutospacing="0" w:after="0" w:afterAutospacing="0"/>
        <w:rPr>
          <w:rFonts w:ascii="Calibri" w:hAnsi="Calibri"/>
          <w:color w:val="494949"/>
          <w:sz w:val="21"/>
          <w:lang w:val="en-US"/>
        </w:rPr>
      </w:pPr>
      <w:r w:rsidRPr="00267539">
        <w:rPr>
          <w:rFonts w:ascii="Calibri" w:hAnsi="Calibri" w:cs="Calibri"/>
          <w:color w:val="494949"/>
          <w:sz w:val="21"/>
          <w:szCs w:val="21"/>
          <w:lang w:val="en-US"/>
        </w:rPr>
        <w:t xml:space="preserve"> </w:t>
      </w:r>
    </w:p>
    <w:p w14:paraId="7CC725C0" w14:textId="77777777" w:rsidR="000D776F" w:rsidRDefault="000D776F" w:rsidP="000D776F">
      <w:pPr>
        <w:pStyle w:val="MHeader2"/>
      </w:pPr>
      <w:r w:rsidRPr="00A96255">
        <w:t xml:space="preserve">4.k Quality assessment </w:t>
      </w:r>
      <w:r w:rsidRPr="007118A0">
        <w:rPr>
          <w:color w:val="B4B4B4"/>
          <w:sz w:val="20"/>
          <w:szCs w:val="22"/>
        </w:rPr>
        <w:t>(QUALITY_ASSMNT)</w:t>
      </w:r>
    </w:p>
    <w:p w14:paraId="3D3ADAEB" w14:textId="77777777" w:rsidR="000D776F" w:rsidRPr="00FB50A7" w:rsidRDefault="000D776F" w:rsidP="00267539">
      <w:pPr>
        <w:pStyle w:val="NormalWeb"/>
        <w:shd w:val="clear" w:color="auto" w:fill="FFFFFF"/>
        <w:spacing w:before="0" w:beforeAutospacing="0" w:after="0" w:afterAutospacing="0"/>
        <w:rPr>
          <w:sz w:val="21"/>
          <w:szCs w:val="21"/>
        </w:rPr>
      </w:pPr>
      <w:r w:rsidRPr="00FB50A7">
        <w:rPr>
          <w:rFonts w:ascii="Calibri" w:hAnsi="Calibri" w:cs="Calibri"/>
          <w:color w:val="494949"/>
          <w:sz w:val="21"/>
          <w:szCs w:val="21"/>
          <w:lang w:val="en-US"/>
        </w:rPr>
        <w:t>Following</w:t>
      </w:r>
      <w:r w:rsidRPr="00FB50A7">
        <w:rPr>
          <w:rFonts w:ascii="Calibri" w:hAnsi="Calibri" w:cs="Calibri"/>
          <w:color w:val="494949"/>
          <w:sz w:val="21"/>
          <w:szCs w:val="21"/>
        </w:rPr>
        <w:t xml:space="preserve"> the consultation</w:t>
      </w:r>
      <w:r w:rsidRPr="00FB50A7">
        <w:rPr>
          <w:rFonts w:ascii="Calibri" w:hAnsi="Calibri" w:cs="Calibri"/>
          <w:color w:val="494949"/>
          <w:sz w:val="21"/>
          <w:szCs w:val="21"/>
          <w:lang w:val="en-US"/>
        </w:rPr>
        <w:t>s</w:t>
      </w:r>
      <w:r w:rsidRPr="00FB50A7">
        <w:rPr>
          <w:rFonts w:ascii="Calibri" w:hAnsi="Calibri" w:cs="Calibri"/>
          <w:color w:val="494949"/>
          <w:sz w:val="21"/>
          <w:szCs w:val="21"/>
        </w:rPr>
        <w:t xml:space="preserve"> with internal stakeholders and the UN regional commissions, data </w:t>
      </w:r>
      <w:r w:rsidRPr="00FB50A7">
        <w:rPr>
          <w:rFonts w:ascii="Calibri" w:hAnsi="Calibri" w:cs="Calibri"/>
          <w:color w:val="494949"/>
          <w:sz w:val="21"/>
          <w:szCs w:val="21"/>
          <w:lang w:val="en-US"/>
        </w:rPr>
        <w:t>estimates</w:t>
      </w:r>
      <w:r w:rsidRPr="00E71E66">
        <w:rPr>
          <w:rFonts w:ascii="Calibri" w:hAnsi="Calibri"/>
          <w:color w:val="494949"/>
          <w:lang w:val="en-US"/>
        </w:rPr>
        <w:t xml:space="preserve"> </w:t>
      </w:r>
      <w:r w:rsidRPr="00FB50A7">
        <w:rPr>
          <w:rFonts w:ascii="Calibri" w:hAnsi="Calibri" w:cs="Calibri"/>
          <w:color w:val="494949"/>
          <w:sz w:val="21"/>
          <w:szCs w:val="21"/>
        </w:rPr>
        <w:t xml:space="preserve">of some countries </w:t>
      </w:r>
      <w:r w:rsidRPr="00FB50A7">
        <w:rPr>
          <w:rFonts w:ascii="Calibri" w:hAnsi="Calibri" w:cs="Calibri"/>
          <w:color w:val="494949"/>
          <w:sz w:val="21"/>
          <w:szCs w:val="21"/>
          <w:lang w:val="en-US"/>
        </w:rPr>
        <w:t>may undergo additional revisions.</w:t>
      </w:r>
      <w:r w:rsidRPr="00FB50A7">
        <w:rPr>
          <w:rFonts w:ascii="Calibri" w:hAnsi="Calibri" w:cs="Calibri"/>
          <w:color w:val="494949"/>
          <w:sz w:val="21"/>
          <w:szCs w:val="21"/>
        </w:rPr>
        <w:t xml:space="preserve"> </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sidRPr="007118A0">
        <w:rPr>
          <w:color w:val="B4B4B4"/>
          <w:sz w:val="20"/>
          <w:szCs w:val="22"/>
        </w:rPr>
        <w:t>(COVERAGE)</w:t>
      </w:r>
    </w:p>
    <w:p w14:paraId="464A8CCF" w14:textId="4DA8DC55" w:rsidR="00576CFA" w:rsidRPr="00F42189" w:rsidRDefault="00D51E7C" w:rsidP="00576CFA">
      <w:pPr>
        <w:pStyle w:val="MText"/>
        <w:rPr>
          <w:b/>
        </w:rPr>
      </w:pPr>
      <w:r w:rsidRPr="00F42189">
        <w:rPr>
          <w:b/>
        </w:rPr>
        <w:t>Data availability</w:t>
      </w:r>
      <w:r w:rsidR="00E97BC1">
        <w:rPr>
          <w:b/>
        </w:rPr>
        <w:t xml:space="preserve"> </w:t>
      </w:r>
      <w:r w:rsidR="00CA1F46">
        <w:rPr>
          <w:b/>
        </w:rPr>
        <w:t>(as of 2026):</w:t>
      </w:r>
    </w:p>
    <w:p w14:paraId="0E0E9302" w14:textId="0A92BDAC" w:rsidR="00BF0B86" w:rsidRPr="00FE2DD1" w:rsidRDefault="00BF0B86" w:rsidP="00CC652D">
      <w:pPr>
        <w:pStyle w:val="MText"/>
      </w:pPr>
      <w:r w:rsidRPr="00FE2DD1">
        <w:t>For cooking fuels,</w:t>
      </w:r>
      <w:r w:rsidR="00002039">
        <w:t xml:space="preserve"> </w:t>
      </w:r>
      <w:r w:rsidRPr="00FE2DD1">
        <w:t>coverage of 17</w:t>
      </w:r>
      <w:r w:rsidR="00002039">
        <w:t>5</w:t>
      </w:r>
      <w:r w:rsidRPr="00FE2DD1">
        <w:t xml:space="preserve"> countries is available through the WHO Global Household Energy Database.</w:t>
      </w:r>
    </w:p>
    <w:p w14:paraId="602A73DD" w14:textId="77777777" w:rsidR="00BF0B86" w:rsidRPr="00FE2DD1" w:rsidRDefault="00BF0B86" w:rsidP="00CC652D">
      <w:pPr>
        <w:pStyle w:val="MText"/>
      </w:pPr>
    </w:p>
    <w:p w14:paraId="57ABD1B5" w14:textId="3A831792" w:rsidR="00BF0B86" w:rsidRPr="00FE2DD1" w:rsidRDefault="00BF0B86" w:rsidP="00CC652D">
      <w:pPr>
        <w:pStyle w:val="MText"/>
      </w:pPr>
      <w:r w:rsidRPr="00FE2DD1">
        <w:t xml:space="preserve">For lighting fuels, the WHO database includes data for </w:t>
      </w:r>
      <w:r w:rsidR="00A25393">
        <w:t>1</w:t>
      </w:r>
      <w:r w:rsidR="0098064C">
        <w:t>33</w:t>
      </w:r>
      <w:r w:rsidRPr="00FE2DD1">
        <w:t xml:space="preserve"> countries.</w:t>
      </w:r>
    </w:p>
    <w:p w14:paraId="7598E039" w14:textId="77777777" w:rsidR="00BF0B86" w:rsidRPr="00FE2DD1" w:rsidRDefault="00BF0B86" w:rsidP="00CC652D">
      <w:pPr>
        <w:pStyle w:val="MText"/>
      </w:pPr>
    </w:p>
    <w:p w14:paraId="04DED1E3" w14:textId="0155BEA5" w:rsidR="00BF0B86" w:rsidRPr="00FE2DD1" w:rsidRDefault="00BF0B86" w:rsidP="00CC652D">
      <w:pPr>
        <w:pStyle w:val="MText"/>
      </w:pPr>
      <w:r w:rsidRPr="00FE2DD1">
        <w:t xml:space="preserve">For heating fuels, the WHO database includes data for </w:t>
      </w:r>
      <w:r w:rsidR="006F0973">
        <w:t>116</w:t>
      </w:r>
      <w:r w:rsidR="006F0973" w:rsidRPr="00FE2DD1">
        <w:t xml:space="preserve"> </w:t>
      </w:r>
      <w:r w:rsidRPr="00FE2DD1">
        <w:t>countries.</w:t>
      </w:r>
    </w:p>
    <w:p w14:paraId="7326A995" w14:textId="77777777" w:rsidR="00BF0B86" w:rsidRPr="00FE2DD1" w:rsidRDefault="00BF0B86" w:rsidP="00CC652D">
      <w:pPr>
        <w:pStyle w:val="MText"/>
      </w:pPr>
    </w:p>
    <w:p w14:paraId="40CEA051" w14:textId="2ED5D852" w:rsidR="00BF0B86" w:rsidRPr="00F42189" w:rsidRDefault="00BF0B86" w:rsidP="00CC652D">
      <w:pPr>
        <w:pStyle w:val="MText"/>
        <w:rPr>
          <w:b/>
        </w:rPr>
      </w:pPr>
      <w:r w:rsidRPr="00F42189">
        <w:rPr>
          <w:b/>
        </w:rPr>
        <w:t>Time series:</w:t>
      </w:r>
    </w:p>
    <w:p w14:paraId="51E928E1" w14:textId="517F7B95" w:rsidR="00BF0B86" w:rsidRPr="00FE2DD1" w:rsidRDefault="00BF0B86" w:rsidP="00CC652D">
      <w:pPr>
        <w:pStyle w:val="MText"/>
      </w:pPr>
      <w:r w:rsidRPr="00FE2DD1">
        <w:t xml:space="preserve">From 1960 to </w:t>
      </w:r>
      <w:r w:rsidR="00D5351A">
        <w:t>202</w:t>
      </w:r>
      <w:r w:rsidR="00360A55">
        <w:t>4</w:t>
      </w:r>
    </w:p>
    <w:p w14:paraId="760C013A" w14:textId="4597FCBD" w:rsidR="00D51E7C" w:rsidRPr="005E4D0C" w:rsidRDefault="00D51E7C" w:rsidP="00CC652D">
      <w:pPr>
        <w:pStyle w:val="MText"/>
        <w:rPr>
          <w:highlight w:val="cyan"/>
        </w:rPr>
      </w:pPr>
    </w:p>
    <w:p w14:paraId="77A28820" w14:textId="7D427BE6" w:rsidR="006800F0" w:rsidRPr="00F42189" w:rsidRDefault="006800F0" w:rsidP="00CC652D">
      <w:pPr>
        <w:pStyle w:val="MText"/>
        <w:rPr>
          <w:b/>
        </w:rPr>
      </w:pPr>
      <w:r w:rsidRPr="00F42189">
        <w:rPr>
          <w:b/>
        </w:rPr>
        <w:t>Disaggregation:</w:t>
      </w:r>
    </w:p>
    <w:p w14:paraId="314D242B" w14:textId="77777777" w:rsidR="006800F0" w:rsidRPr="00FE2DD1" w:rsidRDefault="006800F0" w:rsidP="00CC652D">
      <w:pPr>
        <w:pStyle w:val="MText"/>
      </w:pPr>
      <w:r w:rsidRPr="00FE2DD1">
        <w:t>Disaggregated estimates for different end-uses (i.e. cooking, heating and lighting; with expected improvements in household surveys, this will be possible for heating and lighting for all countries.</w:t>
      </w:r>
    </w:p>
    <w:p w14:paraId="777158DD" w14:textId="77777777" w:rsidR="006800F0" w:rsidRPr="00FE2DD1" w:rsidRDefault="006800F0" w:rsidP="00CC652D">
      <w:pPr>
        <w:pStyle w:val="MText"/>
      </w:pPr>
    </w:p>
    <w:p w14:paraId="7028384B" w14:textId="0E3D0702" w:rsidR="006800F0" w:rsidRPr="00FE2DD1" w:rsidRDefault="006800F0" w:rsidP="00CC652D">
      <w:pPr>
        <w:pStyle w:val="MText"/>
      </w:pPr>
      <w:r w:rsidRPr="00FE2DD1">
        <w:t xml:space="preserve">Disaggregation of access to clean fuel and technologies for cooking by rural or urban place of residence is possible for all </w:t>
      </w:r>
      <w:r w:rsidRPr="0000188B">
        <w:t>countries with survey data.</w:t>
      </w:r>
    </w:p>
    <w:p w14:paraId="48561571" w14:textId="77777777" w:rsidR="0000188B" w:rsidRPr="00FE2DD1" w:rsidRDefault="0000188B" w:rsidP="00CC652D">
      <w:pPr>
        <w:pStyle w:val="MText"/>
      </w:pPr>
    </w:p>
    <w:p w14:paraId="52658E79" w14:textId="48C8EF1D" w:rsidR="006800F0" w:rsidRPr="00FE2DD1" w:rsidRDefault="006800F0" w:rsidP="00CC652D">
      <w:pPr>
        <w:pStyle w:val="MText"/>
      </w:pPr>
      <w:r w:rsidRPr="00FE2DD1">
        <w:t>Energy is a service provided at the household, rather than individual level.</w:t>
      </w:r>
      <w:r w:rsidR="00CF114B">
        <w:t xml:space="preserve"> </w:t>
      </w:r>
      <w:r w:rsidRPr="00FE2DD1">
        <w:t xml:space="preserve">Nonetheless, it is used differentially by men and women and has different impacts on their health and well-being. </w:t>
      </w:r>
      <w:r w:rsidR="0000188B" w:rsidRPr="00FE2DD1">
        <w:t>Gender disaggregation by main user (i.e. cook) of cooking energy will be available with expected improvements in household surveys.</w:t>
      </w:r>
      <w:r w:rsidR="0000188B">
        <w:t xml:space="preserve"> </w:t>
      </w:r>
      <w:r w:rsidR="0000188B" w:rsidRPr="00FE2DD1">
        <w:t>Gender disaggregation of head of household for cooking, lighting and heating is available</w:t>
      </w:r>
      <w:r w:rsidR="0000188B">
        <w:t xml:space="preserve"> for select surveys. </w:t>
      </w:r>
      <w:r w:rsidRPr="00FE2DD1">
        <w:t>What will be possible, in principle, is to report energy access disaggregated by the main user of cooking energy.</w:t>
      </w:r>
    </w:p>
    <w:p w14:paraId="1D17971E" w14:textId="77777777" w:rsidR="006800F0" w:rsidRPr="00FE2DD1" w:rsidRDefault="006800F0" w:rsidP="00CC652D">
      <w:pPr>
        <w:pStyle w:val="MText"/>
      </w:pPr>
    </w:p>
    <w:p w14:paraId="72C7C370" w14:textId="48FECC81" w:rsidR="00D51E7C" w:rsidRPr="00FE2DD1" w:rsidRDefault="006800F0" w:rsidP="00CC652D">
      <w:pPr>
        <w:pStyle w:val="MText"/>
      </w:pPr>
      <w:r w:rsidRPr="00FE2DD1">
        <w:t xml:space="preserve">In addition, WHO's Household energy database includes country data from thirty countries on the time spent by children collecting fuelwood and water disaggregated by sex. With the improvements in data collection via the below mentioned survey harmonization process, data will be available </w:t>
      </w:r>
      <w:r w:rsidR="00C07A6A">
        <w:t xml:space="preserve">on </w:t>
      </w:r>
      <w:r w:rsidRPr="00FE2DD1">
        <w:t>reporting time spent exclusively on fuel collection rather than in combination with water collection.</w:t>
      </w:r>
    </w:p>
    <w:p w14:paraId="42E8CA56" w14:textId="77777777" w:rsidR="00D51E7C" w:rsidRPr="00FE2DD1" w:rsidRDefault="00D51E7C" w:rsidP="00CC652D">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sidRPr="007118A0">
        <w:rPr>
          <w:color w:val="B4B4B4"/>
          <w:sz w:val="20"/>
          <w:szCs w:val="22"/>
        </w:rPr>
        <w:t>(COMPARABILITY)</w:t>
      </w:r>
    </w:p>
    <w:p w14:paraId="29460886" w14:textId="77777777" w:rsidR="00BF0B86" w:rsidRPr="00F42189" w:rsidRDefault="00BF0B86" w:rsidP="00292E20">
      <w:pPr>
        <w:pStyle w:val="MText"/>
        <w:rPr>
          <w:b/>
        </w:rPr>
      </w:pPr>
      <w:r w:rsidRPr="00F42189">
        <w:rPr>
          <w:b/>
        </w:rPr>
        <w:t>Sources of discrepancies:</w:t>
      </w:r>
    </w:p>
    <w:p w14:paraId="6CDF6308" w14:textId="77777777" w:rsidR="00BF0B86" w:rsidRPr="00FE2DD1" w:rsidRDefault="00BF0B86" w:rsidP="00292E20">
      <w:pPr>
        <w:pStyle w:val="MText"/>
      </w:pPr>
      <w:r w:rsidRPr="00FE2DD1">
        <w:t>There may be discrepancies between internationally reported and nationally reported figures. The reasons are the following:</w:t>
      </w:r>
    </w:p>
    <w:p w14:paraId="4A8FFC3C" w14:textId="13F99071" w:rsidR="00BF0B86" w:rsidRPr="00FE2DD1" w:rsidRDefault="00BF0B86" w:rsidP="00267539">
      <w:pPr>
        <w:pStyle w:val="MText"/>
        <w:numPr>
          <w:ilvl w:val="0"/>
          <w:numId w:val="9"/>
        </w:numPr>
      </w:pPr>
      <w:r w:rsidRPr="00FE2DD1">
        <w:t>Modelled estimates versus survey data point.</w:t>
      </w:r>
    </w:p>
    <w:p w14:paraId="0DBDC2E1" w14:textId="49C9913F" w:rsidR="00BF0B86" w:rsidRPr="00FE2DD1" w:rsidRDefault="00BF0B86" w:rsidP="00267539">
      <w:pPr>
        <w:pStyle w:val="MText"/>
        <w:numPr>
          <w:ilvl w:val="0"/>
          <w:numId w:val="9"/>
        </w:numPr>
      </w:pPr>
      <w:r w:rsidRPr="00FE2DD1">
        <w:t>Use of different definitions of polluting (or previously solid) fuels (wood only or wood and any other biomass, e.g. dung residues; kerosene included or not as polluting fuels).</w:t>
      </w:r>
    </w:p>
    <w:p w14:paraId="002D9398" w14:textId="4BDDE5BD" w:rsidR="00BF0B86" w:rsidRPr="00FE2DD1" w:rsidRDefault="00BF0B86" w:rsidP="00267539">
      <w:pPr>
        <w:pStyle w:val="MText"/>
        <w:numPr>
          <w:ilvl w:val="0"/>
          <w:numId w:val="9"/>
        </w:numPr>
      </w:pPr>
      <w:r w:rsidRPr="00FE2DD1">
        <w:t>Use of different total population estimate.</w:t>
      </w:r>
    </w:p>
    <w:p w14:paraId="32425228" w14:textId="3DCFBE7A" w:rsidR="00BF0B86" w:rsidRPr="00FE2DD1" w:rsidRDefault="00BF0B86" w:rsidP="00267539">
      <w:pPr>
        <w:pStyle w:val="MText"/>
        <w:numPr>
          <w:ilvl w:val="0"/>
          <w:numId w:val="9"/>
        </w:numPr>
      </w:pPr>
      <w:r w:rsidRPr="00FE2DD1">
        <w:t>Estimates are expressed as percentage of population using polluting (or solid) fuels (as per SDG indicator) as compared to percentage of household using polluting (or solid) fuels (as assessed by surveys such as DHS or MICS).</w:t>
      </w:r>
    </w:p>
    <w:p w14:paraId="73BFBF1D" w14:textId="77777777" w:rsidR="00BF0B86" w:rsidRPr="00FE2DD1" w:rsidRDefault="00BF0B86" w:rsidP="00292E20">
      <w:pPr>
        <w:pStyle w:val="MText"/>
      </w:pPr>
    </w:p>
    <w:p w14:paraId="1E13A44A" w14:textId="77777777" w:rsidR="00BF0B86" w:rsidRPr="005E4D0C" w:rsidRDefault="00BF0B86" w:rsidP="00292E20">
      <w:pPr>
        <w:pStyle w:val="MText"/>
      </w:pPr>
      <w:r w:rsidRPr="005E4D0C">
        <w:t>Changes in modelling methodology:</w:t>
      </w:r>
    </w:p>
    <w:p w14:paraId="793EB526" w14:textId="343B1DBD" w:rsidR="00C951C7" w:rsidRDefault="00BF0B86" w:rsidP="00C951C7">
      <w:pPr>
        <w:pStyle w:val="MText"/>
      </w:pPr>
      <w:r w:rsidRPr="00FE2DD1">
        <w:lastRenderedPageBreak/>
        <w:t>Prior to 2018, estimates of the proportion of the population primarily relying on solid fuels were obtained from a multilevel model with region and nonparametric functions of time as the only covariates (</w:t>
      </w:r>
      <w:r w:rsidRPr="00D73AE4">
        <w:t>Bonjour et al</w:t>
      </w:r>
      <w:r w:rsidRPr="000D776F">
        <w:t>.</w:t>
      </w:r>
      <w:r w:rsidR="00C07A6A" w:rsidRPr="000D776F">
        <w:t>,</w:t>
      </w:r>
      <w:r w:rsidRPr="000D776F">
        <w:t xml:space="preserve"> 2013</w:t>
      </w:r>
      <w:r w:rsidRPr="00FE2DD1">
        <w:t>). For tracking SDG7 in 2018 and 2019</w:t>
      </w:r>
      <w:r w:rsidR="00E22A4D">
        <w:t>,</w:t>
      </w:r>
      <w:r w:rsidRPr="00FE2DD1">
        <w:t xml:space="preserve"> this model was used to estimate polluting and clean fuel use, though this time it was implemented in the Bayesian framework for increased robustness and more reliable quantification of uncertainty. For 2020</w:t>
      </w:r>
      <w:r w:rsidR="00DB6EC4">
        <w:t>-2</w:t>
      </w:r>
      <w:r w:rsidR="00B44502">
        <w:t>025</w:t>
      </w:r>
      <w:r w:rsidRPr="00FE2DD1">
        <w:t xml:space="preserve">, the model </w:t>
      </w:r>
      <w:r w:rsidR="00DB6EC4">
        <w:t>was</w:t>
      </w:r>
      <w:r w:rsidRPr="00FE2DD1">
        <w:t xml:space="preserve"> expanded to allow estimates for individual fuels, and extra flexibility </w:t>
      </w:r>
      <w:r w:rsidR="00E23DB9">
        <w:t>w</w:t>
      </w:r>
      <w:r w:rsidRPr="00FE2DD1">
        <w:t xml:space="preserve">as added to the functions of time to better capture </w:t>
      </w:r>
      <w:r w:rsidR="008F748A">
        <w:t xml:space="preserve">smooth </w:t>
      </w:r>
      <w:r w:rsidRPr="00FE2DD1">
        <w:t xml:space="preserve">nonlinear trends in some countries (Stoner et al. </w:t>
      </w:r>
      <w:r w:rsidR="008A7C1C">
        <w:t>2020</w:t>
      </w:r>
      <w:r w:rsidRPr="00FE2DD1">
        <w:t xml:space="preserve">). These refinements </w:t>
      </w:r>
      <w:r w:rsidR="00775AB3">
        <w:t>were</w:t>
      </w:r>
      <w:r w:rsidRPr="00FE2DD1">
        <w:t xml:space="preserve"> introduced alongside an ever-expanding collection of data, which underwent a major quality-control effort. Due to the increased data availability, borrowing of information across </w:t>
      </w:r>
      <w:r w:rsidR="00FF363B">
        <w:t xml:space="preserve">in the same </w:t>
      </w:r>
      <w:r w:rsidRPr="00FE2DD1">
        <w:t xml:space="preserve">region </w:t>
      </w:r>
      <w:r w:rsidR="00FF363B">
        <w:t>was deemed</w:t>
      </w:r>
      <w:r w:rsidRPr="00FE2DD1">
        <w:t xml:space="preserve"> no longer essential, </w:t>
      </w:r>
      <w:r w:rsidR="00450AED">
        <w:t>and</w:t>
      </w:r>
      <w:r w:rsidR="00450AED" w:rsidRPr="00FE2DD1">
        <w:t xml:space="preserve"> </w:t>
      </w:r>
      <w:r w:rsidRPr="00FE2DD1">
        <w:t xml:space="preserve">time </w:t>
      </w:r>
      <w:r w:rsidR="00450AED">
        <w:t>was</w:t>
      </w:r>
      <w:r w:rsidRPr="00FE2DD1">
        <w:t xml:space="preserve"> the only covariate</w:t>
      </w:r>
      <w:r w:rsidR="00E63AD5">
        <w:t xml:space="preserve"> (Stoner et al. 2021)</w:t>
      </w:r>
      <w:r w:rsidRPr="00FE2DD1">
        <w:t xml:space="preserve">. </w:t>
      </w:r>
    </w:p>
    <w:p w14:paraId="5774724E" w14:textId="77777777" w:rsidR="00E80047" w:rsidRDefault="00E80047" w:rsidP="00397DD8">
      <w:pPr>
        <w:pStyle w:val="MText"/>
      </w:pPr>
    </w:p>
    <w:p w14:paraId="18F14D14" w14:textId="0572C13E" w:rsidR="008B190E" w:rsidRDefault="00C951C7" w:rsidP="00D0492A">
      <w:pPr>
        <w:pStyle w:val="MText"/>
      </w:pPr>
      <w:r>
        <w:t xml:space="preserve">For 2026, in addition to the existing structures in the model (smooth time trends), the model </w:t>
      </w:r>
      <w:r w:rsidR="00E43476">
        <w:t xml:space="preserve">also </w:t>
      </w:r>
      <w:r>
        <w:t>incorporates structured relationships between GDP per capita</w:t>
      </w:r>
      <w:r w:rsidR="00E80047">
        <w:t xml:space="preserve"> (purchasing power parity, constant 2021 international dollars)</w:t>
      </w:r>
      <w:r>
        <w:t xml:space="preserve"> and the expected use of different fuels over time. </w:t>
      </w:r>
      <w:r w:rsidR="00377449">
        <w:t>The model decomposes e</w:t>
      </w:r>
      <w:r w:rsidR="00322145">
        <w:t xml:space="preserve">ffects of long-term differences in GDP per capita between countries </w:t>
      </w:r>
      <w:r w:rsidR="00377449">
        <w:t xml:space="preserve">from effects of </w:t>
      </w:r>
      <w:r w:rsidR="00322145">
        <w:t>changes in GDP per capita over time within countries</w:t>
      </w:r>
      <w:r w:rsidR="00A64092">
        <w:t xml:space="preserve">, with the former </w:t>
      </w:r>
      <w:r w:rsidR="00377449">
        <w:t>estimated to have a stronger association with fuel use</w:t>
      </w:r>
      <w:r w:rsidR="00DD7844">
        <w:t>.</w:t>
      </w:r>
    </w:p>
    <w:p w14:paraId="3D9A67DD" w14:textId="77777777" w:rsidR="008B190E" w:rsidRDefault="008B190E" w:rsidP="00D0492A">
      <w:pPr>
        <w:pStyle w:val="MText"/>
      </w:pPr>
    </w:p>
    <w:p w14:paraId="1A489BB7" w14:textId="643C3C3C" w:rsidR="008B190E" w:rsidRDefault="008B190E" w:rsidP="00D0492A">
      <w:pPr>
        <w:pStyle w:val="MText"/>
      </w:pPr>
      <w:r>
        <w:t xml:space="preserve">The model still responds to country-level survey data </w:t>
      </w:r>
      <w:r w:rsidR="00DE16A2">
        <w:t>closely,</w:t>
      </w:r>
      <w:r>
        <w:t xml:space="preserve"> </w:t>
      </w:r>
      <w:r w:rsidR="00F240E8">
        <w:t xml:space="preserve">but </w:t>
      </w:r>
      <w:r>
        <w:t xml:space="preserve">the GDP effects provide an informative baseline </w:t>
      </w:r>
      <w:r w:rsidR="009E73BC">
        <w:t>for</w:t>
      </w:r>
      <w:r>
        <w:t xml:space="preserve"> estimation in </w:t>
      </w:r>
      <w:r w:rsidR="00DE16A2">
        <w:t xml:space="preserve">countries and territories </w:t>
      </w:r>
      <w:r w:rsidR="009E73BC">
        <w:t>that currently have</w:t>
      </w:r>
      <w:r w:rsidR="00DE16A2">
        <w:t xml:space="preserve"> no survey data</w:t>
      </w:r>
      <w:r w:rsidR="00811243">
        <w:t xml:space="preserve"> </w:t>
      </w:r>
      <w:r w:rsidR="00D3101C">
        <w:t xml:space="preserve">meeting </w:t>
      </w:r>
      <w:r w:rsidR="00811243">
        <w:t>selection criteria</w:t>
      </w:r>
      <w:r w:rsidR="00ED09C2">
        <w:t>,</w:t>
      </w:r>
      <w:r w:rsidR="00811243">
        <w:t xml:space="preserve"> e.g.</w:t>
      </w:r>
      <w:r w:rsidR="005B38C2">
        <w:t xml:space="preserve"> </w:t>
      </w:r>
      <w:r w:rsidR="00811243">
        <w:t>Bulgaria, Lebanon, Libya</w:t>
      </w:r>
      <w:r w:rsidR="002376B1">
        <w:t>, and many high-income countries</w:t>
      </w:r>
      <w:r w:rsidR="00ED2150">
        <w:t>.</w:t>
      </w:r>
    </w:p>
    <w:p w14:paraId="444152C2" w14:textId="288754B4" w:rsidR="00BF0B86" w:rsidRPr="00FE2DD1" w:rsidRDefault="00322145" w:rsidP="00D0492A">
      <w:pPr>
        <w:pStyle w:val="MText"/>
      </w:pPr>
      <w:r>
        <w:t xml:space="preserve"> </w:t>
      </w:r>
    </w:p>
    <w:p w14:paraId="25727487" w14:textId="2669A809" w:rsidR="00095EC2" w:rsidRDefault="00BF0B86" w:rsidP="00292E20">
      <w:pPr>
        <w:pStyle w:val="MText"/>
      </w:pPr>
      <w:r w:rsidRPr="00FE2DD1">
        <w:t xml:space="preserve">On </w:t>
      </w:r>
      <w:r w:rsidR="00CE76AF">
        <w:t>all</w:t>
      </w:r>
      <w:r w:rsidR="00CE76AF" w:rsidRPr="00FE2DD1">
        <w:t xml:space="preserve"> </w:t>
      </w:r>
      <w:r w:rsidRPr="00FE2DD1">
        <w:t xml:space="preserve">occasions where the model changed, the WHO conducted a thorough sensitivity analysis, including full country-by-country comparisons of estimates between the existing model and the candidate model. In most cases, estimates of the proportion using clean fuels exhibited little change. Where larger discrepancies were identified, they were carefully investigated to determine the likely cause. Many of these were </w:t>
      </w:r>
      <w:r w:rsidR="000B4556">
        <w:t>t</w:t>
      </w:r>
      <w:r w:rsidRPr="00FE2DD1">
        <w:t xml:space="preserve">he result of the </w:t>
      </w:r>
      <w:r w:rsidR="000B4556">
        <w:t>refined</w:t>
      </w:r>
      <w:r w:rsidRPr="00FE2DD1">
        <w:t xml:space="preserve"> model better capturing nonlinear trends</w:t>
      </w:r>
      <w:r w:rsidR="00D24CAA">
        <w:t xml:space="preserve"> or plausible trajectories</w:t>
      </w:r>
      <w:r w:rsidRPr="00FE2DD1">
        <w:t>.</w:t>
      </w:r>
    </w:p>
    <w:p w14:paraId="3D8197BA" w14:textId="2FA69D1A" w:rsidR="00FC6851" w:rsidRDefault="00FC6851" w:rsidP="00292E20">
      <w:pPr>
        <w:pStyle w:val="MText"/>
      </w:pPr>
    </w:p>
    <w:p w14:paraId="25E5C2D1" w14:textId="1EC83EFF" w:rsidR="00FC6851" w:rsidRPr="00FE2DD1" w:rsidRDefault="00FC6851" w:rsidP="00292E20">
      <w:pPr>
        <w:pStyle w:val="MText"/>
      </w:pPr>
      <w:r>
        <w:t xml:space="preserve">The </w:t>
      </w:r>
      <w:r w:rsidR="0082765C">
        <w:t xml:space="preserve">latest </w:t>
      </w:r>
      <w:r>
        <w:t xml:space="preserve">model is used for the </w:t>
      </w:r>
      <w:r w:rsidR="0082765C">
        <w:t>current</w:t>
      </w:r>
      <w:r w:rsidR="005E5BB7">
        <w:t xml:space="preserve"> </w:t>
      </w:r>
      <w:r>
        <w:t>revision</w:t>
      </w:r>
      <w:r w:rsidR="00FA4BE0">
        <w:t xml:space="preserve"> of the SDG reporting</w:t>
      </w:r>
      <w:r>
        <w:t>, with updated data inputs as described in previous sections.</w:t>
      </w:r>
    </w:p>
    <w:p w14:paraId="5AB6DD91" w14:textId="3926B127" w:rsidR="00F719A8" w:rsidRPr="00A96255" w:rsidRDefault="00F719A8" w:rsidP="00576CFA">
      <w:pPr>
        <w:pStyle w:val="MText"/>
      </w:pPr>
    </w:p>
    <w:p w14:paraId="76DF099C" w14:textId="703C09F1" w:rsidR="00382CF3" w:rsidRPr="007118A0" w:rsidRDefault="00576CFA" w:rsidP="005E4D0C">
      <w:pPr>
        <w:pStyle w:val="MHeader"/>
        <w:spacing w:after="100"/>
        <w:rPr>
          <w:color w:val="B4B4B4"/>
          <w:sz w:val="20"/>
          <w:szCs w:val="22"/>
        </w:rPr>
      </w:pPr>
      <w:bookmarkStart w:id="7" w:name="OLE_LINK26"/>
      <w:r w:rsidRPr="00A96255">
        <w:t xml:space="preserve">7. References and Documentation </w:t>
      </w:r>
      <w:r w:rsidRPr="007118A0">
        <w:rPr>
          <w:color w:val="B4B4B4"/>
          <w:sz w:val="20"/>
          <w:szCs w:val="22"/>
        </w:rPr>
        <w:t>(OTHER_DOC)</w:t>
      </w:r>
    </w:p>
    <w:p w14:paraId="229156B4"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bookmarkStart w:id="8" w:name="_Hlk84329282"/>
      <w:bookmarkEnd w:id="7"/>
      <w:r>
        <w:rPr>
          <w:rFonts w:eastAsia="Times New Roman" w:cs="Times New Roman"/>
          <w:b/>
          <w:bCs/>
          <w:color w:val="4A4A4A"/>
          <w:sz w:val="21"/>
          <w:szCs w:val="21"/>
          <w:lang w:eastAsia="en-GB"/>
        </w:rPr>
        <w:t>URL:</w:t>
      </w:r>
    </w:p>
    <w:p w14:paraId="14E10E51" w14:textId="5ACBF5AC" w:rsidR="00BF0B86" w:rsidRDefault="007828EE" w:rsidP="00BF0B86">
      <w:pPr>
        <w:shd w:val="clear" w:color="auto" w:fill="FFFFFF"/>
        <w:spacing w:after="0"/>
        <w:contextualSpacing/>
        <w:rPr>
          <w:rFonts w:eastAsia="Times New Roman" w:cs="Times New Roman"/>
          <w:color w:val="4A4A4A"/>
          <w:sz w:val="21"/>
          <w:szCs w:val="21"/>
          <w:lang w:eastAsia="en-GB"/>
        </w:rPr>
      </w:pPr>
      <w:hyperlink r:id="rId12" w:history="1">
        <w:r w:rsidRPr="00C12A55">
          <w:rPr>
            <w:rStyle w:val="Hyperlink"/>
          </w:rPr>
          <w:t>https://www.who.int/data/gho/data/themes/air-pollution/household-air-pollution</w:t>
        </w:r>
      </w:hyperlink>
      <w:r>
        <w:t xml:space="preserve"> </w:t>
      </w:r>
      <w:r w:rsidR="0090063A">
        <w:t xml:space="preserve"> </w:t>
      </w:r>
    </w:p>
    <w:p w14:paraId="18EEF78B" w14:textId="77777777" w:rsidR="00BF0B86" w:rsidRDefault="00BF0B86" w:rsidP="00BF0B86">
      <w:pPr>
        <w:shd w:val="clear" w:color="auto" w:fill="FFFFFF"/>
        <w:spacing w:after="0"/>
        <w:contextualSpacing/>
        <w:rPr>
          <w:rFonts w:eastAsia="Times New Roman" w:cs="Times New Roman"/>
          <w:b/>
          <w:bCs/>
          <w:color w:val="4A4A4A"/>
          <w:sz w:val="21"/>
          <w:szCs w:val="21"/>
          <w:lang w:eastAsia="en-GB"/>
        </w:rPr>
      </w:pPr>
      <w:r>
        <w:rPr>
          <w:rFonts w:eastAsia="Times New Roman" w:cs="Times New Roman"/>
          <w:b/>
          <w:bCs/>
          <w:color w:val="4A4A4A"/>
          <w:sz w:val="21"/>
          <w:szCs w:val="21"/>
          <w:lang w:eastAsia="en-GB"/>
        </w:rPr>
        <w:t>References:</w:t>
      </w:r>
    </w:p>
    <w:p w14:paraId="3CBAD5B8"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Global Tracking Framework report (2013)</w:t>
      </w:r>
    </w:p>
    <w:p w14:paraId="66A5D0E7" w14:textId="53222D5D" w:rsidR="00BF0B86" w:rsidRDefault="00D86704" w:rsidP="00BF0B86">
      <w:pPr>
        <w:shd w:val="clear" w:color="auto" w:fill="FFFFFF"/>
        <w:spacing w:after="0"/>
        <w:contextualSpacing/>
        <w:rPr>
          <w:rFonts w:eastAsia="Times New Roman" w:cs="Times New Roman"/>
          <w:color w:val="4A4A4A"/>
          <w:sz w:val="21"/>
          <w:szCs w:val="21"/>
          <w:lang w:eastAsia="en-GB"/>
        </w:rPr>
      </w:pPr>
      <w:hyperlink r:id="rId13" w:history="1">
        <w:r w:rsidRPr="00231240">
          <w:rPr>
            <w:rStyle w:val="Hyperlink"/>
            <w:rFonts w:eastAsia="Times New Roman" w:cs="Times New Roman"/>
            <w:sz w:val="21"/>
            <w:szCs w:val="21"/>
            <w:lang w:eastAsia="en-GB"/>
          </w:rPr>
          <w:t>http://trackingenergy4all.worldbank.org/</w:t>
        </w:r>
      </w:hyperlink>
      <w:r>
        <w:rPr>
          <w:rFonts w:eastAsia="Times New Roman" w:cs="Times New Roman"/>
          <w:color w:val="4A4A4A"/>
          <w:sz w:val="21"/>
          <w:szCs w:val="21"/>
          <w:lang w:eastAsia="en-GB"/>
        </w:rPr>
        <w:t xml:space="preserve"> </w:t>
      </w:r>
    </w:p>
    <w:p w14:paraId="024C1EB0"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p>
    <w:p w14:paraId="3D420793"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Global Tracking Framework Report (2015)</w:t>
      </w:r>
    </w:p>
    <w:p w14:paraId="292970BE" w14:textId="6133391A" w:rsidR="00BF0B86" w:rsidRDefault="00D86704" w:rsidP="00BF0B86">
      <w:pPr>
        <w:shd w:val="clear" w:color="auto" w:fill="FFFFFF"/>
        <w:spacing w:after="0"/>
        <w:contextualSpacing/>
        <w:rPr>
          <w:rFonts w:eastAsia="Times New Roman" w:cs="Times New Roman"/>
          <w:color w:val="4A4A4A"/>
          <w:sz w:val="21"/>
          <w:szCs w:val="21"/>
          <w:lang w:eastAsia="en-GB"/>
        </w:rPr>
      </w:pPr>
      <w:hyperlink r:id="rId14" w:history="1">
        <w:r w:rsidRPr="00231240">
          <w:rPr>
            <w:rStyle w:val="Hyperlink"/>
            <w:rFonts w:eastAsia="Times New Roman" w:cs="Times New Roman"/>
            <w:sz w:val="21"/>
            <w:szCs w:val="21"/>
            <w:lang w:eastAsia="en-GB"/>
          </w:rPr>
          <w:t>http://trackingenergy4all.worldbank.org/</w:t>
        </w:r>
      </w:hyperlink>
      <w:r>
        <w:rPr>
          <w:rFonts w:eastAsia="Times New Roman" w:cs="Times New Roman"/>
          <w:color w:val="4A4A4A"/>
          <w:sz w:val="21"/>
          <w:szCs w:val="21"/>
          <w:lang w:eastAsia="en-GB"/>
        </w:rPr>
        <w:t xml:space="preserve"> </w:t>
      </w:r>
    </w:p>
    <w:p w14:paraId="35D6E771"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p>
    <w:p w14:paraId="1079994B"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Global Tracking Framework database (2015)</w:t>
      </w:r>
    </w:p>
    <w:p w14:paraId="23FA916A" w14:textId="05227F01" w:rsidR="00BF0B86" w:rsidRDefault="00D86704" w:rsidP="00BF0B86">
      <w:pPr>
        <w:shd w:val="clear" w:color="auto" w:fill="FFFFFF"/>
        <w:spacing w:after="0"/>
        <w:contextualSpacing/>
        <w:rPr>
          <w:rFonts w:eastAsia="Times New Roman" w:cs="Times New Roman"/>
          <w:color w:val="4A4A4A"/>
          <w:sz w:val="21"/>
          <w:szCs w:val="21"/>
          <w:lang w:eastAsia="en-GB"/>
        </w:rPr>
      </w:pPr>
      <w:hyperlink r:id="rId15" w:history="1">
        <w:r w:rsidRPr="00231240">
          <w:rPr>
            <w:rStyle w:val="Hyperlink"/>
            <w:rFonts w:eastAsia="Times New Roman" w:cs="Times New Roman"/>
            <w:sz w:val="21"/>
            <w:szCs w:val="21"/>
            <w:lang w:eastAsia="en-GB"/>
          </w:rPr>
          <w:t>http://data.worldbank.org/data-catalog/sustainable-energy-for-all</w:t>
        </w:r>
      </w:hyperlink>
      <w:r>
        <w:rPr>
          <w:rFonts w:eastAsia="Times New Roman" w:cs="Times New Roman"/>
          <w:color w:val="4A4A4A"/>
          <w:sz w:val="21"/>
          <w:szCs w:val="21"/>
          <w:lang w:eastAsia="en-GB"/>
        </w:rPr>
        <w:t xml:space="preserve"> </w:t>
      </w:r>
    </w:p>
    <w:p w14:paraId="5EA947B4"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p>
    <w:p w14:paraId="1F30A713"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Multi-Tier Framework for Measuring Energy Access,</w:t>
      </w:r>
    </w:p>
    <w:p w14:paraId="28863FD9" w14:textId="15CC20CE" w:rsidR="00BF0B86" w:rsidRDefault="009E12A5" w:rsidP="00BF0B86">
      <w:pPr>
        <w:shd w:val="clear" w:color="auto" w:fill="FFFFFF"/>
        <w:spacing w:after="0"/>
        <w:contextualSpacing/>
        <w:rPr>
          <w:rFonts w:eastAsia="Times New Roman" w:cs="Times New Roman"/>
          <w:color w:val="4A4A4A"/>
          <w:sz w:val="21"/>
          <w:szCs w:val="21"/>
          <w:lang w:eastAsia="en-GB"/>
        </w:rPr>
      </w:pPr>
      <w:r w:rsidRPr="009E12A5">
        <w:t>https://www.esmap.org/mtf_multi-tier_framework_for_energy_access</w:t>
      </w:r>
      <w:r w:rsidR="00D86704">
        <w:rPr>
          <w:rFonts w:eastAsia="Times New Roman" w:cs="Times New Roman"/>
          <w:color w:val="4A4A4A"/>
          <w:sz w:val="21"/>
          <w:szCs w:val="21"/>
          <w:lang w:eastAsia="en-GB"/>
        </w:rPr>
        <w:t xml:space="preserve"> </w:t>
      </w:r>
    </w:p>
    <w:p w14:paraId="414C274C"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p>
    <w:p w14:paraId="598739F5" w14:textId="77777777" w:rsidR="00F44947" w:rsidRDefault="00BF0B86" w:rsidP="00BF0B86">
      <w:pPr>
        <w:shd w:val="clear" w:color="auto" w:fill="FFFFFF" w:themeFill="background1"/>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lastRenderedPageBreak/>
        <w:t xml:space="preserve">WHO Guidelines for indoor air quality: Household Fuel Combustion, WHO (2014) </w:t>
      </w:r>
    </w:p>
    <w:p w14:paraId="18E7FFB3" w14:textId="4927AE30" w:rsidR="00122BEA" w:rsidRPr="00E71E66" w:rsidRDefault="00D70C31" w:rsidP="00122BEA">
      <w:pPr>
        <w:shd w:val="clear" w:color="auto" w:fill="FFFFFF" w:themeFill="background1"/>
        <w:spacing w:after="0"/>
        <w:contextualSpacing/>
        <w:rPr>
          <w:rStyle w:val="Hyperlink"/>
        </w:rPr>
      </w:pPr>
      <w:hyperlink r:id="rId16" w:history="1">
        <w:r w:rsidRPr="003C7F0C">
          <w:rPr>
            <w:rStyle w:val="Hyperlink"/>
          </w:rPr>
          <w:t>https://www.who.int/publications/i/item/9789241548885</w:t>
        </w:r>
      </w:hyperlink>
    </w:p>
    <w:p w14:paraId="71949AE8" w14:textId="77777777" w:rsidR="00FD7B27" w:rsidRPr="00E71E66" w:rsidRDefault="00FD7B27" w:rsidP="00E71E66">
      <w:pPr>
        <w:shd w:val="clear" w:color="auto" w:fill="FFFFFF" w:themeFill="background1"/>
        <w:spacing w:after="0"/>
        <w:contextualSpacing/>
        <w:rPr>
          <w:rStyle w:val="Hyperlink"/>
        </w:rPr>
      </w:pPr>
    </w:p>
    <w:p w14:paraId="47A6FBC6" w14:textId="77777777" w:rsidR="00461CD4" w:rsidRDefault="00FD7B27" w:rsidP="00122BEA">
      <w:pPr>
        <w:shd w:val="clear" w:color="auto" w:fill="FFFFFF" w:themeFill="background1"/>
        <w:spacing w:after="0"/>
        <w:contextualSpacing/>
        <w:rPr>
          <w:sz w:val="21"/>
          <w:szCs w:val="21"/>
        </w:rPr>
      </w:pPr>
      <w:r w:rsidRPr="00FD7B27">
        <w:rPr>
          <w:sz w:val="21"/>
          <w:szCs w:val="21"/>
        </w:rPr>
        <w:t>WHO Clean Household Energy Solutions Toolkit (CHEST) (2022)</w:t>
      </w:r>
    </w:p>
    <w:p w14:paraId="6FA70A8E" w14:textId="113E321E" w:rsidR="00122BEA" w:rsidRPr="00E71E66" w:rsidRDefault="00C36D6E" w:rsidP="00122BEA">
      <w:pPr>
        <w:shd w:val="clear" w:color="auto" w:fill="FFFFFF" w:themeFill="background1"/>
        <w:spacing w:after="0"/>
        <w:contextualSpacing/>
        <w:rPr>
          <w:sz w:val="21"/>
          <w:szCs w:val="21"/>
        </w:rPr>
      </w:pPr>
      <w:hyperlink r:id="rId17" w:history="1">
        <w:r w:rsidRPr="00E71E66">
          <w:rPr>
            <w:rStyle w:val="Hyperlink"/>
            <w:sz w:val="21"/>
            <w:szCs w:val="21"/>
          </w:rPr>
          <w:t>https://www.who.int/tools/clean-household-energy-solutions-toolkit</w:t>
        </w:r>
      </w:hyperlink>
      <w:r>
        <w:rPr>
          <w:sz w:val="21"/>
          <w:szCs w:val="21"/>
        </w:rPr>
        <w:t xml:space="preserve"> </w:t>
      </w:r>
    </w:p>
    <w:p w14:paraId="0A77614C" w14:textId="77777777" w:rsidR="00122BEA" w:rsidRDefault="00122BEA" w:rsidP="00BF0B86">
      <w:pPr>
        <w:shd w:val="clear" w:color="auto" w:fill="FFFFFF" w:themeFill="background1"/>
        <w:spacing w:after="0"/>
        <w:contextualSpacing/>
        <w:rPr>
          <w:rStyle w:val="Hyperlink"/>
        </w:rPr>
      </w:pPr>
    </w:p>
    <w:p w14:paraId="691E7E64" w14:textId="7990D210" w:rsidR="003E220E" w:rsidRDefault="003E220E" w:rsidP="003E220E">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WHO CHEST – Module 7 Defining clean fuels and technologies</w:t>
      </w:r>
    </w:p>
    <w:p w14:paraId="51E3A109" w14:textId="77777777" w:rsidR="003E220E" w:rsidRDefault="003E220E" w:rsidP="003E220E">
      <w:pPr>
        <w:shd w:val="clear" w:color="auto" w:fill="FFFFFF"/>
        <w:spacing w:after="0"/>
        <w:contextualSpacing/>
        <w:rPr>
          <w:rFonts w:eastAsia="Times New Roman" w:cs="Times New Roman"/>
          <w:color w:val="4A4A4A"/>
          <w:sz w:val="21"/>
          <w:szCs w:val="21"/>
          <w:lang w:eastAsia="en-GB"/>
        </w:rPr>
      </w:pPr>
      <w:r w:rsidRPr="004679E2">
        <w:rPr>
          <w:rFonts w:eastAsia="Times New Roman" w:cs="Times New Roman"/>
          <w:color w:val="4A4A4A"/>
          <w:sz w:val="21"/>
          <w:szCs w:val="21"/>
          <w:lang w:eastAsia="en-GB"/>
        </w:rPr>
        <w:t>https://www.who.int/tools/clean-household-energy-solutions-toolkit/module-7-defining-clean</w:t>
      </w:r>
    </w:p>
    <w:p w14:paraId="21B27F69" w14:textId="77777777" w:rsidR="00BF0B86" w:rsidRDefault="00BF0B86" w:rsidP="00BF0B86">
      <w:pPr>
        <w:shd w:val="clear" w:color="auto" w:fill="FFFFFF"/>
        <w:spacing w:after="0"/>
        <w:contextualSpacing/>
        <w:rPr>
          <w:rFonts w:eastAsia="Times New Roman" w:cs="Times New Roman"/>
          <w:color w:val="4A4A4A"/>
          <w:sz w:val="21"/>
          <w:szCs w:val="21"/>
          <w:lang w:eastAsia="en-GB"/>
        </w:rPr>
      </w:pPr>
    </w:p>
    <w:p w14:paraId="57CE9C96" w14:textId="21C94E9D" w:rsidR="00BF0B86" w:rsidRDefault="00BF0B86" w:rsidP="00BF0B86">
      <w:pPr>
        <w:shd w:val="clear" w:color="auto" w:fill="FFFFFF" w:themeFill="background1"/>
        <w:spacing w:after="0"/>
        <w:contextualSpacing/>
      </w:pPr>
      <w:r>
        <w:rPr>
          <w:rFonts w:eastAsia="Times New Roman" w:cs="Times New Roman"/>
          <w:color w:val="4A4A4A"/>
          <w:sz w:val="21"/>
          <w:szCs w:val="21"/>
          <w:lang w:eastAsia="en-GB"/>
        </w:rPr>
        <w:t>Stoner</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O</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Shaddick</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G</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Economou</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T</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w:t>
      </w:r>
      <w:proofErr w:type="spellStart"/>
      <w:r>
        <w:rPr>
          <w:rFonts w:eastAsia="Times New Roman" w:cs="Times New Roman"/>
          <w:color w:val="4A4A4A"/>
          <w:sz w:val="21"/>
          <w:szCs w:val="21"/>
          <w:lang w:eastAsia="en-GB"/>
        </w:rPr>
        <w:t>Gumy</w:t>
      </w:r>
      <w:proofErr w:type="spellEnd"/>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S</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Lewis</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J</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Lucio</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I</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Ruggeri</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G</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w:t>
      </w:r>
      <w:r w:rsidR="00D86704">
        <w:rPr>
          <w:rFonts w:eastAsia="Times New Roman" w:cs="Times New Roman"/>
          <w:color w:val="4A4A4A"/>
          <w:sz w:val="21"/>
          <w:szCs w:val="21"/>
          <w:lang w:eastAsia="en-GB"/>
        </w:rPr>
        <w:t xml:space="preserve">&amp; </w:t>
      </w:r>
      <w:r>
        <w:rPr>
          <w:rFonts w:eastAsia="Times New Roman" w:cs="Times New Roman"/>
          <w:color w:val="4A4A4A"/>
          <w:sz w:val="21"/>
          <w:szCs w:val="21"/>
          <w:lang w:eastAsia="en-GB"/>
        </w:rPr>
        <w:t xml:space="preserve">Adair-Rohani H. </w:t>
      </w:r>
      <w:r w:rsidR="00D86704">
        <w:rPr>
          <w:rFonts w:eastAsia="Times New Roman" w:cs="Times New Roman"/>
          <w:color w:val="4A4A4A"/>
          <w:sz w:val="21"/>
          <w:szCs w:val="21"/>
          <w:lang w:eastAsia="en-GB"/>
        </w:rPr>
        <w:t>(20</w:t>
      </w:r>
      <w:r w:rsidR="0075245C">
        <w:rPr>
          <w:rFonts w:eastAsia="Times New Roman" w:cs="Times New Roman"/>
          <w:color w:val="4A4A4A"/>
          <w:sz w:val="21"/>
          <w:szCs w:val="21"/>
          <w:lang w:eastAsia="en-GB"/>
        </w:rPr>
        <w:t>20</w:t>
      </w:r>
      <w:r w:rsidR="00D86704">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Global </w:t>
      </w:r>
      <w:r w:rsidR="00D86704">
        <w:rPr>
          <w:rFonts w:eastAsia="Times New Roman" w:cs="Times New Roman"/>
          <w:color w:val="4A4A4A"/>
          <w:sz w:val="21"/>
          <w:szCs w:val="21"/>
          <w:lang w:eastAsia="en-GB"/>
        </w:rPr>
        <w:t>h</w:t>
      </w:r>
      <w:r>
        <w:rPr>
          <w:rFonts w:eastAsia="Times New Roman" w:cs="Times New Roman"/>
          <w:color w:val="4A4A4A"/>
          <w:sz w:val="21"/>
          <w:szCs w:val="21"/>
          <w:lang w:eastAsia="en-GB"/>
        </w:rPr>
        <w:t xml:space="preserve">ousehold </w:t>
      </w:r>
      <w:r w:rsidR="00D86704">
        <w:rPr>
          <w:rFonts w:eastAsia="Times New Roman" w:cs="Times New Roman"/>
          <w:color w:val="4A4A4A"/>
          <w:sz w:val="21"/>
          <w:szCs w:val="21"/>
          <w:lang w:eastAsia="en-GB"/>
        </w:rPr>
        <w:t>e</w:t>
      </w:r>
      <w:r>
        <w:rPr>
          <w:rFonts w:eastAsia="Times New Roman" w:cs="Times New Roman"/>
          <w:color w:val="4A4A4A"/>
          <w:sz w:val="21"/>
          <w:szCs w:val="21"/>
          <w:lang w:eastAsia="en-GB"/>
        </w:rPr>
        <w:t xml:space="preserve">nergy </w:t>
      </w:r>
      <w:r w:rsidR="00D86704">
        <w:rPr>
          <w:rFonts w:eastAsia="Times New Roman" w:cs="Times New Roman"/>
          <w:color w:val="4A4A4A"/>
          <w:sz w:val="21"/>
          <w:szCs w:val="21"/>
          <w:lang w:eastAsia="en-GB"/>
        </w:rPr>
        <w:t>m</w:t>
      </w:r>
      <w:r>
        <w:rPr>
          <w:rFonts w:eastAsia="Times New Roman" w:cs="Times New Roman"/>
          <w:color w:val="4A4A4A"/>
          <w:sz w:val="21"/>
          <w:szCs w:val="21"/>
          <w:lang w:eastAsia="en-GB"/>
        </w:rPr>
        <w:t xml:space="preserve">odel: </w:t>
      </w:r>
      <w:r w:rsidR="00D86704">
        <w:rPr>
          <w:rFonts w:eastAsia="Times New Roman" w:cs="Times New Roman"/>
          <w:color w:val="4A4A4A"/>
          <w:sz w:val="21"/>
          <w:szCs w:val="21"/>
          <w:lang w:eastAsia="en-GB"/>
        </w:rPr>
        <w:t>a</w:t>
      </w:r>
      <w:r>
        <w:rPr>
          <w:rFonts w:eastAsia="Times New Roman" w:cs="Times New Roman"/>
          <w:color w:val="4A4A4A"/>
          <w:sz w:val="21"/>
          <w:szCs w:val="21"/>
          <w:lang w:eastAsia="en-GB"/>
        </w:rPr>
        <w:t xml:space="preserve"> </w:t>
      </w:r>
      <w:r w:rsidR="00D86704">
        <w:rPr>
          <w:rFonts w:eastAsia="Times New Roman" w:cs="Times New Roman"/>
          <w:color w:val="4A4A4A"/>
          <w:sz w:val="21"/>
          <w:szCs w:val="21"/>
          <w:lang w:eastAsia="en-GB"/>
        </w:rPr>
        <w:t>m</w:t>
      </w:r>
      <w:r>
        <w:rPr>
          <w:rFonts w:eastAsia="Times New Roman" w:cs="Times New Roman"/>
          <w:color w:val="4A4A4A"/>
          <w:sz w:val="21"/>
          <w:szCs w:val="21"/>
          <w:lang w:eastAsia="en-GB"/>
        </w:rPr>
        <w:t xml:space="preserve">ultivariate </w:t>
      </w:r>
      <w:r w:rsidR="00D86704">
        <w:rPr>
          <w:rFonts w:eastAsia="Times New Roman" w:cs="Times New Roman"/>
          <w:color w:val="4A4A4A"/>
          <w:sz w:val="21"/>
          <w:szCs w:val="21"/>
          <w:lang w:eastAsia="en-GB"/>
        </w:rPr>
        <w:t>h</w:t>
      </w:r>
      <w:r>
        <w:rPr>
          <w:rFonts w:eastAsia="Times New Roman" w:cs="Times New Roman"/>
          <w:color w:val="4A4A4A"/>
          <w:sz w:val="21"/>
          <w:szCs w:val="21"/>
          <w:lang w:eastAsia="en-GB"/>
        </w:rPr>
        <w:t xml:space="preserve">ierarchical </w:t>
      </w:r>
      <w:r w:rsidR="00D86704">
        <w:rPr>
          <w:rFonts w:eastAsia="Times New Roman" w:cs="Times New Roman"/>
          <w:color w:val="4A4A4A"/>
          <w:sz w:val="21"/>
          <w:szCs w:val="21"/>
          <w:lang w:eastAsia="en-GB"/>
        </w:rPr>
        <w:t>a</w:t>
      </w:r>
      <w:r>
        <w:rPr>
          <w:rFonts w:eastAsia="Times New Roman" w:cs="Times New Roman"/>
          <w:color w:val="4A4A4A"/>
          <w:sz w:val="21"/>
          <w:szCs w:val="21"/>
          <w:lang w:eastAsia="en-GB"/>
        </w:rPr>
        <w:t xml:space="preserve">pproach to </w:t>
      </w:r>
      <w:r w:rsidR="00D86704">
        <w:rPr>
          <w:rFonts w:eastAsia="Times New Roman" w:cs="Times New Roman"/>
          <w:color w:val="4A4A4A"/>
          <w:sz w:val="21"/>
          <w:szCs w:val="21"/>
          <w:lang w:eastAsia="en-GB"/>
        </w:rPr>
        <w:t>e</w:t>
      </w:r>
      <w:r>
        <w:rPr>
          <w:rFonts w:eastAsia="Times New Roman" w:cs="Times New Roman"/>
          <w:color w:val="4A4A4A"/>
          <w:sz w:val="21"/>
          <w:szCs w:val="21"/>
          <w:lang w:eastAsia="en-GB"/>
        </w:rPr>
        <w:t xml:space="preserve">stimating </w:t>
      </w:r>
      <w:r w:rsidR="00D86704">
        <w:rPr>
          <w:rFonts w:eastAsia="Times New Roman" w:cs="Times New Roman"/>
          <w:color w:val="4A4A4A"/>
          <w:sz w:val="21"/>
          <w:szCs w:val="21"/>
          <w:lang w:eastAsia="en-GB"/>
        </w:rPr>
        <w:t>t</w:t>
      </w:r>
      <w:r>
        <w:rPr>
          <w:rFonts w:eastAsia="Times New Roman" w:cs="Times New Roman"/>
          <w:color w:val="4A4A4A"/>
          <w:sz w:val="21"/>
          <w:szCs w:val="21"/>
          <w:lang w:eastAsia="en-GB"/>
        </w:rPr>
        <w:t xml:space="preserve">rends in the </w:t>
      </w:r>
      <w:r w:rsidR="00D86704">
        <w:rPr>
          <w:rFonts w:eastAsia="Times New Roman" w:cs="Times New Roman"/>
          <w:color w:val="4A4A4A"/>
          <w:sz w:val="21"/>
          <w:szCs w:val="21"/>
          <w:lang w:eastAsia="en-GB"/>
        </w:rPr>
        <w:t>u</w:t>
      </w:r>
      <w:r>
        <w:rPr>
          <w:rFonts w:eastAsia="Times New Roman" w:cs="Times New Roman"/>
          <w:color w:val="4A4A4A"/>
          <w:sz w:val="21"/>
          <w:szCs w:val="21"/>
          <w:lang w:eastAsia="en-GB"/>
        </w:rPr>
        <w:t xml:space="preserve">se of </w:t>
      </w:r>
      <w:r w:rsidR="00D86704">
        <w:rPr>
          <w:rFonts w:eastAsia="Times New Roman" w:cs="Times New Roman"/>
          <w:color w:val="4A4A4A"/>
          <w:sz w:val="21"/>
          <w:szCs w:val="21"/>
          <w:lang w:eastAsia="en-GB"/>
        </w:rPr>
        <w:t>p</w:t>
      </w:r>
      <w:r>
        <w:rPr>
          <w:rFonts w:eastAsia="Times New Roman" w:cs="Times New Roman"/>
          <w:color w:val="4A4A4A"/>
          <w:sz w:val="21"/>
          <w:szCs w:val="21"/>
          <w:lang w:eastAsia="en-GB"/>
        </w:rPr>
        <w:t xml:space="preserve">olluting and </w:t>
      </w:r>
      <w:r w:rsidR="00D86704">
        <w:rPr>
          <w:rFonts w:eastAsia="Times New Roman" w:cs="Times New Roman"/>
          <w:color w:val="4A4A4A"/>
          <w:sz w:val="21"/>
          <w:szCs w:val="21"/>
          <w:lang w:eastAsia="en-GB"/>
        </w:rPr>
        <w:t>c</w:t>
      </w:r>
      <w:r>
        <w:rPr>
          <w:rFonts w:eastAsia="Times New Roman" w:cs="Times New Roman"/>
          <w:color w:val="4A4A4A"/>
          <w:sz w:val="21"/>
          <w:szCs w:val="21"/>
          <w:lang w:eastAsia="en-GB"/>
        </w:rPr>
        <w:t xml:space="preserve">lean </w:t>
      </w:r>
      <w:r w:rsidR="00D86704">
        <w:rPr>
          <w:rFonts w:eastAsia="Times New Roman" w:cs="Times New Roman"/>
          <w:color w:val="4A4A4A"/>
          <w:sz w:val="21"/>
          <w:szCs w:val="21"/>
          <w:lang w:eastAsia="en-GB"/>
        </w:rPr>
        <w:t>f</w:t>
      </w:r>
      <w:r>
        <w:rPr>
          <w:rFonts w:eastAsia="Times New Roman" w:cs="Times New Roman"/>
          <w:color w:val="4A4A4A"/>
          <w:sz w:val="21"/>
          <w:szCs w:val="21"/>
          <w:lang w:eastAsia="en-GB"/>
        </w:rPr>
        <w:t xml:space="preserve">uels for </w:t>
      </w:r>
      <w:r w:rsidR="00D86704">
        <w:rPr>
          <w:rFonts w:eastAsia="Times New Roman" w:cs="Times New Roman"/>
          <w:color w:val="4A4A4A"/>
          <w:sz w:val="21"/>
          <w:szCs w:val="21"/>
          <w:lang w:eastAsia="en-GB"/>
        </w:rPr>
        <w:t>c</w:t>
      </w:r>
      <w:r>
        <w:rPr>
          <w:rFonts w:eastAsia="Times New Roman" w:cs="Times New Roman"/>
          <w:color w:val="4A4A4A"/>
          <w:sz w:val="21"/>
          <w:szCs w:val="21"/>
          <w:lang w:eastAsia="en-GB"/>
        </w:rPr>
        <w:t xml:space="preserve">ooking. </w:t>
      </w:r>
      <w:r w:rsidR="00D86704">
        <w:rPr>
          <w:rFonts w:eastAsia="Times New Roman" w:cs="Times New Roman"/>
          <w:i/>
          <w:color w:val="4A4A4A"/>
          <w:sz w:val="21"/>
          <w:szCs w:val="21"/>
          <w:lang w:eastAsia="en-GB"/>
        </w:rPr>
        <w:t xml:space="preserve">Journal of the Royal Statistical Society: Series C (Applied Statistics) </w:t>
      </w:r>
      <w:r w:rsidR="00D86704">
        <w:rPr>
          <w:rFonts w:eastAsia="Times New Roman" w:cs="Times New Roman"/>
          <w:color w:val="4A4A4A"/>
          <w:sz w:val="21"/>
          <w:szCs w:val="21"/>
          <w:lang w:eastAsia="en-GB"/>
        </w:rPr>
        <w:t xml:space="preserve">69(4), 815-839. </w:t>
      </w:r>
      <w:r w:rsidR="00792C45" w:rsidRPr="00792C45">
        <w:rPr>
          <w:rFonts w:eastAsia="Times New Roman" w:cs="Times New Roman"/>
          <w:color w:val="4A4A4A"/>
          <w:sz w:val="21"/>
          <w:szCs w:val="21"/>
          <w:lang w:eastAsia="en-GB"/>
        </w:rPr>
        <w:t xml:space="preserve">DOI: </w:t>
      </w:r>
      <w:hyperlink r:id="rId18" w:history="1">
        <w:r w:rsidR="00792C45" w:rsidRPr="00792C45">
          <w:rPr>
            <w:rStyle w:val="Hyperlink"/>
            <w:rFonts w:eastAsia="Times New Roman" w:cs="Times New Roman"/>
            <w:sz w:val="21"/>
            <w:szCs w:val="21"/>
            <w:lang w:eastAsia="en-GB"/>
          </w:rPr>
          <w:t>10.1111/rssc.12428</w:t>
        </w:r>
      </w:hyperlink>
    </w:p>
    <w:p w14:paraId="7BCD139A" w14:textId="77777777" w:rsidR="0082765C" w:rsidRDefault="0082765C" w:rsidP="00BF0B86">
      <w:pPr>
        <w:shd w:val="clear" w:color="auto" w:fill="FFFFFF" w:themeFill="background1"/>
        <w:spacing w:after="0"/>
        <w:contextualSpacing/>
      </w:pPr>
    </w:p>
    <w:p w14:paraId="42538AC5" w14:textId="621B76D8" w:rsidR="0082765C" w:rsidRDefault="0082765C" w:rsidP="00BF0B86">
      <w:pPr>
        <w:shd w:val="clear" w:color="auto" w:fill="FFFFFF" w:themeFill="background1"/>
        <w:spacing w:after="0"/>
        <w:contextualSpacing/>
        <w:rPr>
          <w:rFonts w:eastAsia="Times New Roman" w:cs="Times New Roman"/>
          <w:color w:val="4A4A4A"/>
          <w:sz w:val="21"/>
          <w:szCs w:val="21"/>
          <w:lang w:eastAsia="en-GB"/>
        </w:rPr>
      </w:pPr>
      <w:r w:rsidRPr="0082765C">
        <w:rPr>
          <w:rFonts w:eastAsia="Times New Roman" w:cs="Times New Roman"/>
          <w:color w:val="4A4A4A"/>
          <w:sz w:val="21"/>
          <w:szCs w:val="21"/>
          <w:lang w:eastAsia="en-GB"/>
        </w:rPr>
        <w:t>Stoner, O., Lewis, J., Martínez, I.L.</w:t>
      </w:r>
      <w:r w:rsidR="00E86134">
        <w:rPr>
          <w:rFonts w:eastAsia="Times New Roman" w:cs="Times New Roman"/>
          <w:color w:val="4A4A4A"/>
          <w:sz w:val="21"/>
          <w:szCs w:val="21"/>
          <w:lang w:eastAsia="en-GB"/>
        </w:rPr>
        <w:t xml:space="preserve">, </w:t>
      </w:r>
      <w:proofErr w:type="spellStart"/>
      <w:r w:rsidR="00E86134">
        <w:rPr>
          <w:rFonts w:eastAsia="Times New Roman" w:cs="Times New Roman"/>
          <w:color w:val="4A4A4A"/>
          <w:sz w:val="21"/>
          <w:szCs w:val="21"/>
          <w:lang w:eastAsia="en-GB"/>
        </w:rPr>
        <w:t>Gumy</w:t>
      </w:r>
      <w:proofErr w:type="spellEnd"/>
      <w:r w:rsidR="00E86134">
        <w:rPr>
          <w:rFonts w:eastAsia="Times New Roman" w:cs="Times New Roman"/>
          <w:color w:val="4A4A4A"/>
          <w:sz w:val="21"/>
          <w:szCs w:val="21"/>
          <w:lang w:eastAsia="en-GB"/>
        </w:rPr>
        <w:t xml:space="preserve">, S., </w:t>
      </w:r>
      <w:r w:rsidR="00DE27C9">
        <w:rPr>
          <w:rFonts w:eastAsia="Times New Roman" w:cs="Times New Roman"/>
          <w:color w:val="4A4A4A"/>
          <w:sz w:val="21"/>
          <w:szCs w:val="21"/>
          <w:lang w:eastAsia="en-GB"/>
        </w:rPr>
        <w:t>Economou, T., &amp; Adair-Rohani, H. (2021)</w:t>
      </w:r>
      <w:r w:rsidRPr="0082765C">
        <w:rPr>
          <w:rFonts w:eastAsia="Times New Roman" w:cs="Times New Roman"/>
          <w:color w:val="4A4A4A"/>
          <w:sz w:val="21"/>
          <w:szCs w:val="21"/>
          <w:lang w:eastAsia="en-GB"/>
        </w:rPr>
        <w:t xml:space="preserve">. Household cooking fuel estimates at global and country level for 1990 to 2030. Nat Commun 12, 5793. </w:t>
      </w:r>
      <w:hyperlink r:id="rId19" w:history="1">
        <w:r w:rsidR="00DE27C9" w:rsidRPr="00823BF2">
          <w:rPr>
            <w:rStyle w:val="Hyperlink"/>
            <w:rFonts w:eastAsia="Times New Roman" w:cs="Times New Roman"/>
            <w:sz w:val="21"/>
            <w:szCs w:val="21"/>
            <w:lang w:eastAsia="en-GB"/>
          </w:rPr>
          <w:t>https://doi.org/10.1038/s41467-021-26036-x</w:t>
        </w:r>
      </w:hyperlink>
    </w:p>
    <w:p w14:paraId="2C59FE3C" w14:textId="77777777" w:rsidR="00BF0B86" w:rsidRDefault="00BF0B86" w:rsidP="00BF0B86">
      <w:pPr>
        <w:shd w:val="clear" w:color="auto" w:fill="FFFFFF" w:themeFill="background1"/>
        <w:spacing w:after="0"/>
        <w:contextualSpacing/>
        <w:rPr>
          <w:rFonts w:eastAsia="Times New Roman" w:cs="Times New Roman"/>
          <w:color w:val="4A4A4A"/>
          <w:sz w:val="21"/>
          <w:szCs w:val="21"/>
          <w:lang w:eastAsia="en-GB"/>
        </w:rPr>
      </w:pPr>
    </w:p>
    <w:p w14:paraId="137B122D" w14:textId="42D9A664" w:rsidR="00BF0B86" w:rsidRDefault="00BF0B86" w:rsidP="00BF0B86">
      <w:pPr>
        <w:shd w:val="clear" w:color="auto" w:fill="FFFFFF" w:themeFill="background1"/>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Bonjour S, Adair-Rohani H, Wolf J, Bruce NG, Mehta S, </w:t>
      </w:r>
      <w:proofErr w:type="spellStart"/>
      <w:r>
        <w:rPr>
          <w:rFonts w:eastAsia="Times New Roman" w:cs="Times New Roman"/>
          <w:color w:val="4A4A4A"/>
          <w:sz w:val="21"/>
          <w:szCs w:val="21"/>
          <w:lang w:eastAsia="en-GB"/>
        </w:rPr>
        <w:t>Prüss-Ustün</w:t>
      </w:r>
      <w:proofErr w:type="spellEnd"/>
      <w:r>
        <w:rPr>
          <w:rFonts w:eastAsia="Times New Roman" w:cs="Times New Roman"/>
          <w:color w:val="4A4A4A"/>
          <w:sz w:val="21"/>
          <w:szCs w:val="21"/>
          <w:lang w:eastAsia="en-GB"/>
        </w:rPr>
        <w:t xml:space="preserve"> A, Lahiff M, </w:t>
      </w:r>
      <w:proofErr w:type="spellStart"/>
      <w:r>
        <w:rPr>
          <w:rFonts w:eastAsia="Times New Roman" w:cs="Times New Roman"/>
          <w:color w:val="4A4A4A"/>
          <w:sz w:val="21"/>
          <w:szCs w:val="21"/>
          <w:lang w:eastAsia="en-GB"/>
        </w:rPr>
        <w:t>Rehfuess</w:t>
      </w:r>
      <w:proofErr w:type="spellEnd"/>
      <w:r>
        <w:rPr>
          <w:rFonts w:eastAsia="Times New Roman" w:cs="Times New Roman"/>
          <w:color w:val="4A4A4A"/>
          <w:sz w:val="21"/>
          <w:szCs w:val="21"/>
          <w:lang w:eastAsia="en-GB"/>
        </w:rPr>
        <w:t xml:space="preserve"> EA, Mishra V, and Smith KR (2013). </w:t>
      </w:r>
      <w:hyperlink r:id="rId20" w:history="1">
        <w:r>
          <w:rPr>
            <w:rStyle w:val="Hyperlink"/>
            <w:rFonts w:eastAsia="Times New Roman" w:cs="Times New Roman"/>
            <w:sz w:val="21"/>
            <w:szCs w:val="21"/>
            <w:lang w:eastAsia="en-GB"/>
          </w:rPr>
          <w:t>Solid Fuel Use for Household Cooking: Country and Regional Estimates for 1980–2010</w:t>
        </w:r>
      </w:hyperlink>
      <w:r>
        <w:rPr>
          <w:rFonts w:eastAsia="Times New Roman" w:cs="Times New Roman"/>
          <w:color w:val="4A4A4A"/>
          <w:sz w:val="21"/>
          <w:szCs w:val="21"/>
          <w:lang w:eastAsia="en-GB"/>
        </w:rPr>
        <w:t xml:space="preserve">. </w:t>
      </w:r>
      <w:r w:rsidRPr="00267539">
        <w:rPr>
          <w:i/>
          <w:color w:val="4A4A4A"/>
          <w:sz w:val="21"/>
        </w:rPr>
        <w:t>Environmental Health Perspectives</w:t>
      </w:r>
      <w:r w:rsidR="00D86704">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w:t>
      </w:r>
      <w:hyperlink r:id="rId21" w:history="1">
        <w:r>
          <w:rPr>
            <w:rStyle w:val="Hyperlink"/>
            <w:rFonts w:eastAsia="Times New Roman" w:cs="Times New Roman"/>
            <w:sz w:val="21"/>
            <w:szCs w:val="21"/>
            <w:lang w:eastAsia="en-GB"/>
          </w:rPr>
          <w:t>https://doi.org/10.1289/ehp.1205987</w:t>
        </w:r>
      </w:hyperlink>
    </w:p>
    <w:p w14:paraId="7374FBAC" w14:textId="77777777" w:rsidR="00BF0B86" w:rsidRDefault="00BF0B86" w:rsidP="00BF0B86">
      <w:pPr>
        <w:shd w:val="clear" w:color="auto" w:fill="FFFFFF" w:themeFill="background1"/>
        <w:spacing w:after="0"/>
        <w:contextualSpacing/>
        <w:rPr>
          <w:rFonts w:eastAsia="Times New Roman" w:cs="Times New Roman"/>
          <w:color w:val="4A4A4A"/>
          <w:sz w:val="21"/>
          <w:szCs w:val="21"/>
          <w:lang w:eastAsia="en-GB"/>
        </w:rPr>
      </w:pPr>
    </w:p>
    <w:p w14:paraId="69E7DF95" w14:textId="5313408C" w:rsidR="00BF0B86" w:rsidRDefault="00BF0B86" w:rsidP="00BF0B86">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Population using solid fuels metadata, WHO</w:t>
      </w:r>
    </w:p>
    <w:p w14:paraId="7F7938C2" w14:textId="2DFEB4EA" w:rsidR="00BF0B86" w:rsidRDefault="003E220E" w:rsidP="00BF0B86">
      <w:pPr>
        <w:shd w:val="clear" w:color="auto" w:fill="FFFFFF"/>
        <w:spacing w:after="0"/>
        <w:contextualSpacing/>
        <w:rPr>
          <w:rFonts w:eastAsia="Times New Roman" w:cs="Times New Roman"/>
          <w:color w:val="4A4A4A"/>
          <w:sz w:val="21"/>
          <w:szCs w:val="21"/>
          <w:lang w:eastAsia="en-GB"/>
        </w:rPr>
      </w:pPr>
      <w:hyperlink r:id="rId22" w:history="1">
        <w:r w:rsidRPr="003E220E">
          <w:rPr>
            <w:rStyle w:val="Hyperlink"/>
            <w:sz w:val="21"/>
            <w:szCs w:val="21"/>
          </w:rPr>
          <w:t>https://www.who.int/data/gho/indicator-metadata-registry/imr-details/318</w:t>
        </w:r>
      </w:hyperlink>
      <w:r>
        <w:rPr>
          <w:sz w:val="21"/>
          <w:szCs w:val="21"/>
        </w:rPr>
        <w:t xml:space="preserve"> </w:t>
      </w:r>
    </w:p>
    <w:bookmarkEnd w:id="8"/>
    <w:p w14:paraId="384B0992" w14:textId="68835E50" w:rsidR="00186795" w:rsidRPr="00BF0B86" w:rsidRDefault="00186795" w:rsidP="00EA4A45">
      <w:pPr>
        <w:rPr>
          <w:rFonts w:eastAsia="Times New Roman" w:cs="Times New Roman"/>
          <w:color w:val="4A4A4A"/>
          <w:sz w:val="21"/>
          <w:szCs w:val="21"/>
          <w:lang w:eastAsia="en-GB"/>
        </w:rPr>
      </w:pPr>
    </w:p>
    <w:p w14:paraId="718993BA" w14:textId="77777777" w:rsidR="007D1ABC" w:rsidRDefault="007D1ABC">
      <w:pPr>
        <w:rPr>
          <w:color w:val="4A4A4A"/>
          <w:sz w:val="21"/>
        </w:rPr>
      </w:pPr>
      <w:r>
        <w:rPr>
          <w:color w:val="4A4A4A"/>
          <w:sz w:val="21"/>
        </w:rPr>
        <w:br w:type="page"/>
      </w:r>
    </w:p>
    <w:p w14:paraId="7898ED34" w14:textId="32414118" w:rsidR="00002104" w:rsidRPr="007118A0" w:rsidRDefault="00002104" w:rsidP="00002104">
      <w:pPr>
        <w:pStyle w:val="MHeader"/>
        <w:spacing w:after="100"/>
        <w:rPr>
          <w:color w:val="B4B4B4"/>
          <w:sz w:val="20"/>
          <w:szCs w:val="22"/>
        </w:rPr>
      </w:pPr>
      <w:r>
        <w:lastRenderedPageBreak/>
        <w:t>Annex</w:t>
      </w:r>
    </w:p>
    <w:p w14:paraId="7B9D533D" w14:textId="24348D90" w:rsidR="00BF0B86" w:rsidRDefault="00BF0B86" w:rsidP="00BF0B86">
      <w:pPr>
        <w:shd w:val="clear" w:color="auto" w:fill="FFFFFF" w:themeFill="background1"/>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 xml:space="preserve">A comparison plot is provided to illustrate the differences between </w:t>
      </w:r>
      <w:r w:rsidR="009D2874">
        <w:rPr>
          <w:rFonts w:eastAsia="Times New Roman" w:cs="Times New Roman"/>
          <w:color w:val="4A4A4A"/>
          <w:sz w:val="21"/>
          <w:szCs w:val="21"/>
          <w:lang w:eastAsia="en-GB"/>
        </w:rPr>
        <w:t xml:space="preserve">estimates from the </w:t>
      </w:r>
      <w:r>
        <w:rPr>
          <w:rFonts w:eastAsia="Times New Roman" w:cs="Times New Roman"/>
          <w:color w:val="4A4A4A"/>
          <w:sz w:val="21"/>
          <w:szCs w:val="21"/>
          <w:lang w:eastAsia="en-GB"/>
        </w:rPr>
        <w:t>existing model</w:t>
      </w:r>
      <w:r w:rsidR="00A843F8">
        <w:rPr>
          <w:rFonts w:eastAsia="Times New Roman" w:cs="Times New Roman"/>
          <w:color w:val="4A4A4A"/>
          <w:sz w:val="21"/>
          <w:szCs w:val="21"/>
          <w:lang w:eastAsia="en-GB"/>
        </w:rPr>
        <w:t xml:space="preserve"> specification for 2020-20</w:t>
      </w:r>
      <w:r w:rsidR="00CA1F46">
        <w:rPr>
          <w:rFonts w:eastAsia="Times New Roman" w:cs="Times New Roman"/>
          <w:color w:val="4A4A4A"/>
          <w:sz w:val="21"/>
          <w:szCs w:val="21"/>
          <w:lang w:eastAsia="en-GB"/>
        </w:rPr>
        <w:t>25</w:t>
      </w:r>
      <w:r w:rsidR="00A843F8">
        <w:rPr>
          <w:rFonts w:eastAsia="Times New Roman" w:cs="Times New Roman"/>
          <w:color w:val="4A4A4A"/>
          <w:sz w:val="21"/>
          <w:szCs w:val="21"/>
          <w:lang w:eastAsia="en-GB"/>
        </w:rPr>
        <w:t xml:space="preserve"> and</w:t>
      </w:r>
      <w:r w:rsidR="009D2874">
        <w:rPr>
          <w:rFonts w:eastAsia="Times New Roman" w:cs="Times New Roman"/>
          <w:color w:val="4A4A4A"/>
          <w:sz w:val="21"/>
          <w:szCs w:val="21"/>
          <w:lang w:eastAsia="en-GB"/>
        </w:rPr>
        <w:t xml:space="preserve"> estimates from</w:t>
      </w:r>
      <w:r w:rsidR="00A843F8">
        <w:rPr>
          <w:rFonts w:eastAsia="Times New Roman" w:cs="Times New Roman"/>
          <w:color w:val="4A4A4A"/>
          <w:sz w:val="21"/>
          <w:szCs w:val="21"/>
          <w:lang w:eastAsia="en-GB"/>
        </w:rPr>
        <w:t xml:space="preserve"> the model for 202</w:t>
      </w:r>
      <w:r w:rsidR="00CA1F46">
        <w:rPr>
          <w:rFonts w:eastAsia="Times New Roman" w:cs="Times New Roman"/>
          <w:color w:val="4A4A4A"/>
          <w:sz w:val="21"/>
          <w:szCs w:val="21"/>
          <w:lang w:eastAsia="en-GB"/>
        </w:rPr>
        <w:t>6</w:t>
      </w:r>
      <w:r w:rsidR="00A843F8">
        <w:rPr>
          <w:rFonts w:eastAsia="Times New Roman" w:cs="Times New Roman"/>
          <w:color w:val="4A4A4A"/>
          <w:sz w:val="21"/>
          <w:szCs w:val="21"/>
          <w:lang w:eastAsia="en-GB"/>
        </w:rPr>
        <w:t xml:space="preserve"> with GDP effects</w:t>
      </w:r>
      <w:r>
        <w:rPr>
          <w:rFonts w:eastAsia="Times New Roman" w:cs="Times New Roman"/>
          <w:color w:val="4A4A4A"/>
          <w:sz w:val="21"/>
          <w:szCs w:val="21"/>
          <w:lang w:eastAsia="en-GB"/>
        </w:rPr>
        <w:t xml:space="preserve">. Estimated values for each </w:t>
      </w:r>
      <w:r w:rsidR="00215CDE">
        <w:rPr>
          <w:rFonts w:eastAsia="Times New Roman" w:cs="Times New Roman"/>
          <w:color w:val="4A4A4A"/>
          <w:sz w:val="21"/>
          <w:szCs w:val="21"/>
          <w:lang w:eastAsia="en-GB"/>
        </w:rPr>
        <w:t xml:space="preserve">country (excluding those for which </w:t>
      </w:r>
      <w:r w:rsidR="001174BE">
        <w:rPr>
          <w:rFonts w:eastAsia="Times New Roman" w:cs="Times New Roman"/>
          <w:color w:val="4A4A4A"/>
          <w:sz w:val="21"/>
          <w:szCs w:val="21"/>
          <w:lang w:eastAsia="en-GB"/>
        </w:rPr>
        <w:t>modelled estimates were not provided prior to 2026)</w:t>
      </w:r>
      <w:r>
        <w:rPr>
          <w:rFonts w:eastAsia="Times New Roman" w:cs="Times New Roman"/>
          <w:color w:val="4A4A4A"/>
          <w:sz w:val="21"/>
          <w:szCs w:val="21"/>
          <w:lang w:eastAsia="en-GB"/>
        </w:rPr>
        <w:t>, showing consistency between the existing model and the candidate model.</w:t>
      </w:r>
    </w:p>
    <w:p w14:paraId="3B2DFB96" w14:textId="77777777" w:rsidR="00E14AA5" w:rsidRDefault="00E14AA5" w:rsidP="00BF0B86">
      <w:pPr>
        <w:shd w:val="clear" w:color="auto" w:fill="FFFFFF" w:themeFill="background1"/>
        <w:spacing w:after="0"/>
        <w:contextualSpacing/>
        <w:rPr>
          <w:rFonts w:eastAsia="Times New Roman" w:cs="Times New Roman"/>
          <w:color w:val="4A4A4A"/>
          <w:sz w:val="21"/>
          <w:szCs w:val="21"/>
          <w:lang w:eastAsia="en-GB"/>
        </w:rPr>
      </w:pPr>
    </w:p>
    <w:p w14:paraId="33414197" w14:textId="05EE57EF" w:rsidR="00296019" w:rsidRPr="00F3478D" w:rsidRDefault="00D12859" w:rsidP="00BF0B86">
      <w:pPr>
        <w:shd w:val="clear" w:color="auto" w:fill="FFFFFF" w:themeFill="background1"/>
        <w:spacing w:after="0"/>
        <w:contextualSpacing/>
        <w:rPr>
          <w:rFonts w:eastAsia="Times New Roman" w:cs="Times New Roman"/>
          <w:color w:val="4A4A4A"/>
          <w:sz w:val="21"/>
          <w:szCs w:val="21"/>
          <w:u w:val="single"/>
          <w:lang w:eastAsia="en-GB"/>
        </w:rPr>
      </w:pPr>
      <w:r w:rsidRPr="00F3478D">
        <w:rPr>
          <w:u w:val="single"/>
        </w:rPr>
        <w:t>Proportion of population with primary reliance on clean fuels and technology</w:t>
      </w:r>
      <w:r w:rsidRPr="00F3478D" w:rsidDel="00D12859">
        <w:rPr>
          <w:rFonts w:eastAsia="Times New Roman" w:cs="Times New Roman"/>
          <w:color w:val="4A4A4A"/>
          <w:sz w:val="21"/>
          <w:szCs w:val="21"/>
          <w:u w:val="single"/>
          <w:lang w:eastAsia="en-GB"/>
        </w:rPr>
        <w:t xml:space="preserve"> </w:t>
      </w:r>
    </w:p>
    <w:p w14:paraId="1570E923" w14:textId="2C0AC6B7" w:rsidR="00BF0B86" w:rsidRPr="00EA4A45" w:rsidRDefault="001317F4" w:rsidP="00EA4A45">
      <w:r>
        <w:rPr>
          <w:noProof/>
        </w:rPr>
        <w:drawing>
          <wp:inline distT="0" distB="0" distL="0" distR="0" wp14:anchorId="34761CCB" wp14:editId="42DA163A">
            <wp:extent cx="5731510" cy="4967605"/>
            <wp:effectExtent l="0" t="0" r="0" b="0"/>
            <wp:docPr id="1063106182" name="Picture 2"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06182" name="Picture 2" descr="A graph of different types of data&#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4967605"/>
                    </a:xfrm>
                    <a:prstGeom prst="rect">
                      <a:avLst/>
                    </a:prstGeom>
                  </pic:spPr>
                </pic:pic>
              </a:graphicData>
            </a:graphic>
          </wp:inline>
        </w:drawing>
      </w:r>
    </w:p>
    <w:sectPr w:rsidR="00BF0B86" w:rsidRPr="00EA4A45">
      <w:headerReference w:type="default" r:id="rId2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193A" w14:textId="77777777" w:rsidR="00C94743" w:rsidRDefault="00C94743" w:rsidP="00573C0B">
      <w:pPr>
        <w:spacing w:after="0" w:line="240" w:lineRule="auto"/>
      </w:pPr>
      <w:r>
        <w:separator/>
      </w:r>
    </w:p>
  </w:endnote>
  <w:endnote w:type="continuationSeparator" w:id="0">
    <w:p w14:paraId="35FF607C" w14:textId="77777777" w:rsidR="00C94743" w:rsidRDefault="00C94743" w:rsidP="00573C0B">
      <w:pPr>
        <w:spacing w:after="0" w:line="240" w:lineRule="auto"/>
      </w:pPr>
      <w:r>
        <w:continuationSeparator/>
      </w:r>
    </w:p>
  </w:endnote>
  <w:endnote w:type="continuationNotice" w:id="1">
    <w:p w14:paraId="2F86C9AE" w14:textId="77777777" w:rsidR="00C94743" w:rsidRDefault="00C947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11B11" w14:textId="77777777" w:rsidR="00C94743" w:rsidRDefault="00C94743" w:rsidP="00573C0B">
      <w:pPr>
        <w:spacing w:after="0" w:line="240" w:lineRule="auto"/>
      </w:pPr>
      <w:r>
        <w:separator/>
      </w:r>
    </w:p>
  </w:footnote>
  <w:footnote w:type="continuationSeparator" w:id="0">
    <w:p w14:paraId="7A59A2B2" w14:textId="77777777" w:rsidR="00C94743" w:rsidRDefault="00C94743" w:rsidP="00573C0B">
      <w:pPr>
        <w:spacing w:after="0" w:line="240" w:lineRule="auto"/>
      </w:pPr>
      <w:r>
        <w:continuationSeparator/>
      </w:r>
    </w:p>
  </w:footnote>
  <w:footnote w:type="continuationNotice" w:id="1">
    <w:p w14:paraId="78F12F2F" w14:textId="77777777" w:rsidR="00C94743" w:rsidRDefault="00C947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2A833290" w:rsidR="00077F46" w:rsidRPr="000B07F8" w:rsidRDefault="00077F46" w:rsidP="000B07F8">
    <w:pPr>
      <w:pStyle w:val="Header"/>
      <w:jc w:val="right"/>
      <w:rPr>
        <w:color w:val="404040" w:themeColor="text1" w:themeTint="BF"/>
        <w:sz w:val="18"/>
      </w:rPr>
    </w:pPr>
    <w:bookmarkStart w:id="9" w:name="_Hlk506197003"/>
    <w:bookmarkStart w:id="10" w:name="_Hlk506197004"/>
    <w:bookmarkStart w:id="11" w:name="_Hlk506197005"/>
    <w:bookmarkStart w:id="12" w:name="_Hlk516233502"/>
    <w:bookmarkStart w:id="13" w:name="_Hlk516233503"/>
    <w:bookmarkStart w:id="14" w:name="_Hlk516233504"/>
    <w:bookmarkStart w:id="15" w:name="_Hlk532729630"/>
    <w:r w:rsidRPr="000B07F8">
      <w:rPr>
        <w:color w:val="404040" w:themeColor="text1" w:themeTint="BF"/>
        <w:sz w:val="18"/>
      </w:rPr>
      <w:t>Last updated:</w:t>
    </w:r>
    <w:bookmarkEnd w:id="9"/>
    <w:bookmarkEnd w:id="10"/>
    <w:bookmarkEnd w:id="11"/>
    <w:bookmarkEnd w:id="12"/>
    <w:bookmarkEnd w:id="13"/>
    <w:bookmarkEnd w:id="14"/>
    <w:r w:rsidR="00AF5552" w:rsidRPr="000B07F8">
      <w:rPr>
        <w:color w:val="404040" w:themeColor="text1" w:themeTint="BF"/>
        <w:sz w:val="18"/>
      </w:rPr>
      <w:t xml:space="preserve"> </w:t>
    </w:r>
    <w:r w:rsidR="006B6E46">
      <w:rPr>
        <w:color w:val="404040" w:themeColor="text1" w:themeTint="BF"/>
        <w:sz w:val="18"/>
      </w:rPr>
      <w:t>202</w:t>
    </w:r>
    <w:r w:rsidR="0009191C">
      <w:rPr>
        <w:color w:val="404040" w:themeColor="text1" w:themeTint="BF"/>
        <w:sz w:val="18"/>
      </w:rPr>
      <w:t>6</w:t>
    </w:r>
    <w:bookmarkEnd w:id="15"/>
    <w:r w:rsidR="00640C09">
      <w:rPr>
        <w:color w:val="404040" w:themeColor="text1" w:themeTint="BF"/>
        <w:sz w:val="18"/>
      </w:rPr>
      <w:t>-</w:t>
    </w:r>
    <w:r w:rsidR="00234A8F">
      <w:rPr>
        <w:color w:val="404040" w:themeColor="text1" w:themeTint="BF"/>
        <w:sz w:val="18"/>
      </w:rPr>
      <w:t>0</w:t>
    </w:r>
    <w:r w:rsidR="0009191C">
      <w:rPr>
        <w:color w:val="404040" w:themeColor="text1" w:themeTint="BF"/>
        <w:sz w:val="18"/>
      </w:rPr>
      <w:t>7</w:t>
    </w:r>
    <w:r w:rsidR="00640C09">
      <w:rPr>
        <w:color w:val="404040" w:themeColor="text1" w:themeTint="BF"/>
        <w:sz w:val="18"/>
      </w:rPr>
      <w:t>-</w:t>
    </w:r>
    <w:r w:rsidR="0009191C">
      <w:rPr>
        <w:color w:val="404040" w:themeColor="text1" w:themeTint="BF"/>
        <w:sz w:val="18"/>
      </w:rPr>
      <w:t>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D3076"/>
    <w:multiLevelType w:val="hybridMultilevel"/>
    <w:tmpl w:val="351AB4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47E68BC"/>
    <w:multiLevelType w:val="hybridMultilevel"/>
    <w:tmpl w:val="6F6CE2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DD06B0"/>
    <w:multiLevelType w:val="multilevel"/>
    <w:tmpl w:val="6FB2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560BB"/>
    <w:multiLevelType w:val="hybridMultilevel"/>
    <w:tmpl w:val="45588D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469DA"/>
    <w:multiLevelType w:val="hybridMultilevel"/>
    <w:tmpl w:val="4E684E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11553EA"/>
    <w:multiLevelType w:val="hybridMultilevel"/>
    <w:tmpl w:val="0F50C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166CBF"/>
    <w:multiLevelType w:val="hybridMultilevel"/>
    <w:tmpl w:val="B7805572"/>
    <w:lvl w:ilvl="0" w:tplc="F68ACA20">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416DC"/>
    <w:multiLevelType w:val="hybridMultilevel"/>
    <w:tmpl w:val="61E4F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0456016">
    <w:abstractNumId w:val="8"/>
  </w:num>
  <w:num w:numId="2" w16cid:durableId="1986469656">
    <w:abstractNumId w:val="4"/>
  </w:num>
  <w:num w:numId="3" w16cid:durableId="424884422">
    <w:abstractNumId w:val="10"/>
  </w:num>
  <w:num w:numId="4" w16cid:durableId="461846781">
    <w:abstractNumId w:val="5"/>
  </w:num>
  <w:num w:numId="5" w16cid:durableId="76052143">
    <w:abstractNumId w:val="2"/>
  </w:num>
  <w:num w:numId="6" w16cid:durableId="1590653102">
    <w:abstractNumId w:val="3"/>
  </w:num>
  <w:num w:numId="7" w16cid:durableId="355690380">
    <w:abstractNumId w:val="0"/>
  </w:num>
  <w:num w:numId="8" w16cid:durableId="514419647">
    <w:abstractNumId w:val="6"/>
  </w:num>
  <w:num w:numId="9" w16cid:durableId="242566716">
    <w:abstractNumId w:val="9"/>
  </w:num>
  <w:num w:numId="10" w16cid:durableId="1955358845">
    <w:abstractNumId w:val="1"/>
  </w:num>
  <w:num w:numId="11" w16cid:durableId="1278105675">
    <w:abstractNumId w:val="11"/>
  </w:num>
  <w:num w:numId="12" w16cid:durableId="15482510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188B"/>
    <w:rsid w:val="00002039"/>
    <w:rsid w:val="00002104"/>
    <w:rsid w:val="00005C64"/>
    <w:rsid w:val="000061FF"/>
    <w:rsid w:val="000070BA"/>
    <w:rsid w:val="000110B6"/>
    <w:rsid w:val="0001352E"/>
    <w:rsid w:val="000173F9"/>
    <w:rsid w:val="00021671"/>
    <w:rsid w:val="00025B4F"/>
    <w:rsid w:val="000337CC"/>
    <w:rsid w:val="00035670"/>
    <w:rsid w:val="00035D50"/>
    <w:rsid w:val="000412A0"/>
    <w:rsid w:val="00043E84"/>
    <w:rsid w:val="00047DDA"/>
    <w:rsid w:val="00052887"/>
    <w:rsid w:val="0005455A"/>
    <w:rsid w:val="00054D2C"/>
    <w:rsid w:val="00063BD2"/>
    <w:rsid w:val="00063C01"/>
    <w:rsid w:val="00066481"/>
    <w:rsid w:val="00071F07"/>
    <w:rsid w:val="00075A2C"/>
    <w:rsid w:val="0007759D"/>
    <w:rsid w:val="000777AB"/>
    <w:rsid w:val="00077F46"/>
    <w:rsid w:val="00081218"/>
    <w:rsid w:val="000835EB"/>
    <w:rsid w:val="00084BF3"/>
    <w:rsid w:val="00090FB1"/>
    <w:rsid w:val="0009191C"/>
    <w:rsid w:val="000950B0"/>
    <w:rsid w:val="00095EC2"/>
    <w:rsid w:val="00096186"/>
    <w:rsid w:val="000972C1"/>
    <w:rsid w:val="000A1A78"/>
    <w:rsid w:val="000A5672"/>
    <w:rsid w:val="000A58B6"/>
    <w:rsid w:val="000A72E4"/>
    <w:rsid w:val="000B07F8"/>
    <w:rsid w:val="000B0E2F"/>
    <w:rsid w:val="000B2430"/>
    <w:rsid w:val="000B4556"/>
    <w:rsid w:val="000B5ECF"/>
    <w:rsid w:val="000D0B30"/>
    <w:rsid w:val="000D1FD0"/>
    <w:rsid w:val="000D57D8"/>
    <w:rsid w:val="000D776F"/>
    <w:rsid w:val="000E21F1"/>
    <w:rsid w:val="000F703E"/>
    <w:rsid w:val="00100E29"/>
    <w:rsid w:val="00102CDE"/>
    <w:rsid w:val="00107194"/>
    <w:rsid w:val="00112883"/>
    <w:rsid w:val="00115EC9"/>
    <w:rsid w:val="001174BE"/>
    <w:rsid w:val="00120E86"/>
    <w:rsid w:val="00122BEA"/>
    <w:rsid w:val="00125DE9"/>
    <w:rsid w:val="001317F4"/>
    <w:rsid w:val="001332E0"/>
    <w:rsid w:val="00134DE7"/>
    <w:rsid w:val="001355B3"/>
    <w:rsid w:val="0014140D"/>
    <w:rsid w:val="001424A1"/>
    <w:rsid w:val="00150DBA"/>
    <w:rsid w:val="00156DB6"/>
    <w:rsid w:val="00156E93"/>
    <w:rsid w:val="001573C0"/>
    <w:rsid w:val="001706CA"/>
    <w:rsid w:val="00177C07"/>
    <w:rsid w:val="001848D5"/>
    <w:rsid w:val="00184B31"/>
    <w:rsid w:val="00185354"/>
    <w:rsid w:val="001854DC"/>
    <w:rsid w:val="00186795"/>
    <w:rsid w:val="00190F50"/>
    <w:rsid w:val="00194D09"/>
    <w:rsid w:val="001A03D2"/>
    <w:rsid w:val="001A7075"/>
    <w:rsid w:val="001A7D5C"/>
    <w:rsid w:val="001B01CB"/>
    <w:rsid w:val="001B60AA"/>
    <w:rsid w:val="001B63C8"/>
    <w:rsid w:val="001C1972"/>
    <w:rsid w:val="001C41C0"/>
    <w:rsid w:val="001C421F"/>
    <w:rsid w:val="001D360D"/>
    <w:rsid w:val="001D7D76"/>
    <w:rsid w:val="001E19CA"/>
    <w:rsid w:val="001E2B3B"/>
    <w:rsid w:val="001E5AF8"/>
    <w:rsid w:val="001E7E0C"/>
    <w:rsid w:val="002040A4"/>
    <w:rsid w:val="00211454"/>
    <w:rsid w:val="00214A00"/>
    <w:rsid w:val="00215600"/>
    <w:rsid w:val="00215CDE"/>
    <w:rsid w:val="00216F42"/>
    <w:rsid w:val="00227603"/>
    <w:rsid w:val="00234981"/>
    <w:rsid w:val="00234A8F"/>
    <w:rsid w:val="002376B1"/>
    <w:rsid w:val="00247E29"/>
    <w:rsid w:val="00252E59"/>
    <w:rsid w:val="00256624"/>
    <w:rsid w:val="002566F2"/>
    <w:rsid w:val="00261A8D"/>
    <w:rsid w:val="00262CAC"/>
    <w:rsid w:val="00264249"/>
    <w:rsid w:val="00267539"/>
    <w:rsid w:val="00270271"/>
    <w:rsid w:val="002725C6"/>
    <w:rsid w:val="00277811"/>
    <w:rsid w:val="00277E0E"/>
    <w:rsid w:val="0028110E"/>
    <w:rsid w:val="00283C1C"/>
    <w:rsid w:val="00291A00"/>
    <w:rsid w:val="00291A11"/>
    <w:rsid w:val="00292CA8"/>
    <w:rsid w:val="00292E20"/>
    <w:rsid w:val="00295328"/>
    <w:rsid w:val="00296019"/>
    <w:rsid w:val="002A200E"/>
    <w:rsid w:val="002A2C13"/>
    <w:rsid w:val="002A315C"/>
    <w:rsid w:val="002A3342"/>
    <w:rsid w:val="002A64BA"/>
    <w:rsid w:val="002A7CAD"/>
    <w:rsid w:val="002B4281"/>
    <w:rsid w:val="002B429B"/>
    <w:rsid w:val="002B4989"/>
    <w:rsid w:val="002B5349"/>
    <w:rsid w:val="002C2510"/>
    <w:rsid w:val="002C27AF"/>
    <w:rsid w:val="002C6215"/>
    <w:rsid w:val="002C6726"/>
    <w:rsid w:val="002D0835"/>
    <w:rsid w:val="002D560A"/>
    <w:rsid w:val="002D714E"/>
    <w:rsid w:val="002D7690"/>
    <w:rsid w:val="002E2804"/>
    <w:rsid w:val="002E3C0F"/>
    <w:rsid w:val="002E4085"/>
    <w:rsid w:val="002E4588"/>
    <w:rsid w:val="002E53C3"/>
    <w:rsid w:val="002E67C0"/>
    <w:rsid w:val="002F0191"/>
    <w:rsid w:val="002F1468"/>
    <w:rsid w:val="002F2DC6"/>
    <w:rsid w:val="002F3D3E"/>
    <w:rsid w:val="002F51F7"/>
    <w:rsid w:val="002F5F0C"/>
    <w:rsid w:val="002F6CE2"/>
    <w:rsid w:val="00300D61"/>
    <w:rsid w:val="0030684F"/>
    <w:rsid w:val="003132CA"/>
    <w:rsid w:val="003216FE"/>
    <w:rsid w:val="00321729"/>
    <w:rsid w:val="00322145"/>
    <w:rsid w:val="003232DE"/>
    <w:rsid w:val="003235E4"/>
    <w:rsid w:val="00323B3C"/>
    <w:rsid w:val="003265EB"/>
    <w:rsid w:val="003275B0"/>
    <w:rsid w:val="00327864"/>
    <w:rsid w:val="003347A4"/>
    <w:rsid w:val="00335C51"/>
    <w:rsid w:val="00337322"/>
    <w:rsid w:val="00342849"/>
    <w:rsid w:val="0034329E"/>
    <w:rsid w:val="00343FAA"/>
    <w:rsid w:val="00347F5E"/>
    <w:rsid w:val="00353C98"/>
    <w:rsid w:val="00357D12"/>
    <w:rsid w:val="00360A55"/>
    <w:rsid w:val="00371A20"/>
    <w:rsid w:val="00377449"/>
    <w:rsid w:val="003818D9"/>
    <w:rsid w:val="003821B4"/>
    <w:rsid w:val="00382CF3"/>
    <w:rsid w:val="003843E4"/>
    <w:rsid w:val="00386BC8"/>
    <w:rsid w:val="00387D52"/>
    <w:rsid w:val="00395777"/>
    <w:rsid w:val="00397DD8"/>
    <w:rsid w:val="003A7CEA"/>
    <w:rsid w:val="003C29A7"/>
    <w:rsid w:val="003C2E8B"/>
    <w:rsid w:val="003C50EF"/>
    <w:rsid w:val="003D3ACF"/>
    <w:rsid w:val="003D7027"/>
    <w:rsid w:val="003E220E"/>
    <w:rsid w:val="003E352C"/>
    <w:rsid w:val="003F0BD3"/>
    <w:rsid w:val="003F278A"/>
    <w:rsid w:val="003F3D05"/>
    <w:rsid w:val="003F41D0"/>
    <w:rsid w:val="003F473D"/>
    <w:rsid w:val="003F4A9A"/>
    <w:rsid w:val="003F6E9B"/>
    <w:rsid w:val="003F7A02"/>
    <w:rsid w:val="00403071"/>
    <w:rsid w:val="0040311E"/>
    <w:rsid w:val="00404A6C"/>
    <w:rsid w:val="00406E2E"/>
    <w:rsid w:val="004128D4"/>
    <w:rsid w:val="00413F57"/>
    <w:rsid w:val="0041402F"/>
    <w:rsid w:val="00422EA5"/>
    <w:rsid w:val="00422EFA"/>
    <w:rsid w:val="004275C9"/>
    <w:rsid w:val="0042791F"/>
    <w:rsid w:val="00431236"/>
    <w:rsid w:val="00437CA9"/>
    <w:rsid w:val="0044171C"/>
    <w:rsid w:val="004456ED"/>
    <w:rsid w:val="00450AED"/>
    <w:rsid w:val="0045216A"/>
    <w:rsid w:val="00454410"/>
    <w:rsid w:val="00454FDD"/>
    <w:rsid w:val="00461CD4"/>
    <w:rsid w:val="004674DD"/>
    <w:rsid w:val="004679E2"/>
    <w:rsid w:val="004712A1"/>
    <w:rsid w:val="00473091"/>
    <w:rsid w:val="00473FB0"/>
    <w:rsid w:val="0048045A"/>
    <w:rsid w:val="004841B8"/>
    <w:rsid w:val="00491AA1"/>
    <w:rsid w:val="004930F2"/>
    <w:rsid w:val="00496052"/>
    <w:rsid w:val="004A164D"/>
    <w:rsid w:val="004A4E79"/>
    <w:rsid w:val="004A573E"/>
    <w:rsid w:val="004B0F1C"/>
    <w:rsid w:val="004B1F11"/>
    <w:rsid w:val="004B641E"/>
    <w:rsid w:val="004B75F7"/>
    <w:rsid w:val="004C24DC"/>
    <w:rsid w:val="004D1EA7"/>
    <w:rsid w:val="004D4BF2"/>
    <w:rsid w:val="004D6BF3"/>
    <w:rsid w:val="004E0650"/>
    <w:rsid w:val="004E38FE"/>
    <w:rsid w:val="004E4533"/>
    <w:rsid w:val="004E7FD9"/>
    <w:rsid w:val="004F2EE6"/>
    <w:rsid w:val="004F5369"/>
    <w:rsid w:val="004F7582"/>
    <w:rsid w:val="00502DBA"/>
    <w:rsid w:val="005040C4"/>
    <w:rsid w:val="00505EFC"/>
    <w:rsid w:val="00507637"/>
    <w:rsid w:val="00507852"/>
    <w:rsid w:val="005117E2"/>
    <w:rsid w:val="00511C58"/>
    <w:rsid w:val="00514DBF"/>
    <w:rsid w:val="00520103"/>
    <w:rsid w:val="005229FE"/>
    <w:rsid w:val="00524E6F"/>
    <w:rsid w:val="00525A52"/>
    <w:rsid w:val="00531E44"/>
    <w:rsid w:val="00534330"/>
    <w:rsid w:val="00536AF2"/>
    <w:rsid w:val="00537792"/>
    <w:rsid w:val="00540FCF"/>
    <w:rsid w:val="00547924"/>
    <w:rsid w:val="00550921"/>
    <w:rsid w:val="00552003"/>
    <w:rsid w:val="00553AB6"/>
    <w:rsid w:val="005554E8"/>
    <w:rsid w:val="00563712"/>
    <w:rsid w:val="00572638"/>
    <w:rsid w:val="00573631"/>
    <w:rsid w:val="00573C0B"/>
    <w:rsid w:val="00576CFA"/>
    <w:rsid w:val="00577250"/>
    <w:rsid w:val="005854C6"/>
    <w:rsid w:val="0058556D"/>
    <w:rsid w:val="00590D38"/>
    <w:rsid w:val="00592AF2"/>
    <w:rsid w:val="005947AD"/>
    <w:rsid w:val="005976CF"/>
    <w:rsid w:val="00597748"/>
    <w:rsid w:val="005979E8"/>
    <w:rsid w:val="005B38C2"/>
    <w:rsid w:val="005B51A2"/>
    <w:rsid w:val="005B7A29"/>
    <w:rsid w:val="005C1071"/>
    <w:rsid w:val="005C5418"/>
    <w:rsid w:val="005D0AF4"/>
    <w:rsid w:val="005D1023"/>
    <w:rsid w:val="005E4D0C"/>
    <w:rsid w:val="005E54BD"/>
    <w:rsid w:val="005E5BB7"/>
    <w:rsid w:val="005F2B5B"/>
    <w:rsid w:val="005F6A3D"/>
    <w:rsid w:val="005F6CCA"/>
    <w:rsid w:val="00600255"/>
    <w:rsid w:val="00604174"/>
    <w:rsid w:val="00604C40"/>
    <w:rsid w:val="00605E4B"/>
    <w:rsid w:val="006104AF"/>
    <w:rsid w:val="00612FA5"/>
    <w:rsid w:val="006153B1"/>
    <w:rsid w:val="00616FE5"/>
    <w:rsid w:val="00621893"/>
    <w:rsid w:val="00622E64"/>
    <w:rsid w:val="00633DE2"/>
    <w:rsid w:val="006344EA"/>
    <w:rsid w:val="006351E1"/>
    <w:rsid w:val="00635345"/>
    <w:rsid w:val="00635CD8"/>
    <w:rsid w:val="00635E7E"/>
    <w:rsid w:val="0063761A"/>
    <w:rsid w:val="00640C09"/>
    <w:rsid w:val="00643D18"/>
    <w:rsid w:val="006447B1"/>
    <w:rsid w:val="006458C0"/>
    <w:rsid w:val="0065302A"/>
    <w:rsid w:val="0065494B"/>
    <w:rsid w:val="00657753"/>
    <w:rsid w:val="006579A0"/>
    <w:rsid w:val="00660AD1"/>
    <w:rsid w:val="00662775"/>
    <w:rsid w:val="00665613"/>
    <w:rsid w:val="00665C57"/>
    <w:rsid w:val="006666E5"/>
    <w:rsid w:val="00666CDE"/>
    <w:rsid w:val="00667AD7"/>
    <w:rsid w:val="00671406"/>
    <w:rsid w:val="006715B4"/>
    <w:rsid w:val="006716A1"/>
    <w:rsid w:val="00672EC1"/>
    <w:rsid w:val="006800F0"/>
    <w:rsid w:val="006852FC"/>
    <w:rsid w:val="00685978"/>
    <w:rsid w:val="00685B47"/>
    <w:rsid w:val="00686045"/>
    <w:rsid w:val="006920A5"/>
    <w:rsid w:val="0069361D"/>
    <w:rsid w:val="00694940"/>
    <w:rsid w:val="0069737E"/>
    <w:rsid w:val="006A2497"/>
    <w:rsid w:val="006A6ABB"/>
    <w:rsid w:val="006B2991"/>
    <w:rsid w:val="006B3947"/>
    <w:rsid w:val="006B40AB"/>
    <w:rsid w:val="006B5DC5"/>
    <w:rsid w:val="006B6E46"/>
    <w:rsid w:val="006B7C59"/>
    <w:rsid w:val="006C1878"/>
    <w:rsid w:val="006C4BFD"/>
    <w:rsid w:val="006C51D6"/>
    <w:rsid w:val="006C7D30"/>
    <w:rsid w:val="006D0619"/>
    <w:rsid w:val="006D1B39"/>
    <w:rsid w:val="006D1D85"/>
    <w:rsid w:val="006D6A75"/>
    <w:rsid w:val="006E3282"/>
    <w:rsid w:val="006E3C08"/>
    <w:rsid w:val="006F0973"/>
    <w:rsid w:val="006F2467"/>
    <w:rsid w:val="00700ACF"/>
    <w:rsid w:val="00707FCF"/>
    <w:rsid w:val="00710261"/>
    <w:rsid w:val="007118A0"/>
    <w:rsid w:val="00711EC7"/>
    <w:rsid w:val="00712487"/>
    <w:rsid w:val="007127A8"/>
    <w:rsid w:val="00712F0E"/>
    <w:rsid w:val="00723484"/>
    <w:rsid w:val="007263A8"/>
    <w:rsid w:val="00737736"/>
    <w:rsid w:val="00740095"/>
    <w:rsid w:val="00741499"/>
    <w:rsid w:val="00743A72"/>
    <w:rsid w:val="00745B6C"/>
    <w:rsid w:val="007519D8"/>
    <w:rsid w:val="0075245C"/>
    <w:rsid w:val="007530CA"/>
    <w:rsid w:val="00753681"/>
    <w:rsid w:val="00756D68"/>
    <w:rsid w:val="007578D9"/>
    <w:rsid w:val="00757E8A"/>
    <w:rsid w:val="00760E6D"/>
    <w:rsid w:val="00761434"/>
    <w:rsid w:val="00763E43"/>
    <w:rsid w:val="00764EB5"/>
    <w:rsid w:val="007731C2"/>
    <w:rsid w:val="00775AB3"/>
    <w:rsid w:val="00777A95"/>
    <w:rsid w:val="00777E56"/>
    <w:rsid w:val="00782416"/>
    <w:rsid w:val="007828EE"/>
    <w:rsid w:val="00784AA0"/>
    <w:rsid w:val="00791563"/>
    <w:rsid w:val="00792C45"/>
    <w:rsid w:val="007968FE"/>
    <w:rsid w:val="0079690C"/>
    <w:rsid w:val="007A36E9"/>
    <w:rsid w:val="007A74BB"/>
    <w:rsid w:val="007B0364"/>
    <w:rsid w:val="007B1783"/>
    <w:rsid w:val="007B19B2"/>
    <w:rsid w:val="007B2D84"/>
    <w:rsid w:val="007B5D0E"/>
    <w:rsid w:val="007B6C38"/>
    <w:rsid w:val="007C1108"/>
    <w:rsid w:val="007C3E12"/>
    <w:rsid w:val="007C6C38"/>
    <w:rsid w:val="007D0981"/>
    <w:rsid w:val="007D1929"/>
    <w:rsid w:val="007D1ABC"/>
    <w:rsid w:val="007D2945"/>
    <w:rsid w:val="007D5C48"/>
    <w:rsid w:val="007F2960"/>
    <w:rsid w:val="007F62B3"/>
    <w:rsid w:val="008018EB"/>
    <w:rsid w:val="00803CF1"/>
    <w:rsid w:val="00804DEF"/>
    <w:rsid w:val="008104BB"/>
    <w:rsid w:val="00810F36"/>
    <w:rsid w:val="00811243"/>
    <w:rsid w:val="008117C1"/>
    <w:rsid w:val="00812E6C"/>
    <w:rsid w:val="00813FB5"/>
    <w:rsid w:val="0082011E"/>
    <w:rsid w:val="008249C5"/>
    <w:rsid w:val="0082765C"/>
    <w:rsid w:val="00827EBD"/>
    <w:rsid w:val="00830BA3"/>
    <w:rsid w:val="00833EDC"/>
    <w:rsid w:val="00835C9C"/>
    <w:rsid w:val="00837C57"/>
    <w:rsid w:val="00842607"/>
    <w:rsid w:val="008439D5"/>
    <w:rsid w:val="008453FC"/>
    <w:rsid w:val="00847CC2"/>
    <w:rsid w:val="008526F9"/>
    <w:rsid w:val="0085285E"/>
    <w:rsid w:val="00853023"/>
    <w:rsid w:val="008534D4"/>
    <w:rsid w:val="00853644"/>
    <w:rsid w:val="00860743"/>
    <w:rsid w:val="0086609D"/>
    <w:rsid w:val="00870FD3"/>
    <w:rsid w:val="008808F1"/>
    <w:rsid w:val="00881E28"/>
    <w:rsid w:val="00882521"/>
    <w:rsid w:val="00882EC5"/>
    <w:rsid w:val="00884E65"/>
    <w:rsid w:val="008865B6"/>
    <w:rsid w:val="008921FA"/>
    <w:rsid w:val="00894C4B"/>
    <w:rsid w:val="00896039"/>
    <w:rsid w:val="00897381"/>
    <w:rsid w:val="008A12E3"/>
    <w:rsid w:val="008A42FA"/>
    <w:rsid w:val="008A579C"/>
    <w:rsid w:val="008A6909"/>
    <w:rsid w:val="008A7C1C"/>
    <w:rsid w:val="008B0AC7"/>
    <w:rsid w:val="008B190E"/>
    <w:rsid w:val="008B2477"/>
    <w:rsid w:val="008B4CF3"/>
    <w:rsid w:val="008B65F1"/>
    <w:rsid w:val="008B698E"/>
    <w:rsid w:val="008C2335"/>
    <w:rsid w:val="008C67C1"/>
    <w:rsid w:val="008D1D39"/>
    <w:rsid w:val="008D2313"/>
    <w:rsid w:val="008D2CB4"/>
    <w:rsid w:val="008D41FC"/>
    <w:rsid w:val="008D6E86"/>
    <w:rsid w:val="008E23F1"/>
    <w:rsid w:val="008F07D2"/>
    <w:rsid w:val="008F1387"/>
    <w:rsid w:val="008F2160"/>
    <w:rsid w:val="008F26DD"/>
    <w:rsid w:val="008F585E"/>
    <w:rsid w:val="008F653F"/>
    <w:rsid w:val="008F6934"/>
    <w:rsid w:val="008F748A"/>
    <w:rsid w:val="0090063A"/>
    <w:rsid w:val="009015EB"/>
    <w:rsid w:val="00906279"/>
    <w:rsid w:val="00917851"/>
    <w:rsid w:val="00917F65"/>
    <w:rsid w:val="00927FEE"/>
    <w:rsid w:val="00930AFB"/>
    <w:rsid w:val="009311E7"/>
    <w:rsid w:val="00940709"/>
    <w:rsid w:val="00942694"/>
    <w:rsid w:val="00962212"/>
    <w:rsid w:val="009652BC"/>
    <w:rsid w:val="00970730"/>
    <w:rsid w:val="00970F90"/>
    <w:rsid w:val="0098064C"/>
    <w:rsid w:val="00984EFD"/>
    <w:rsid w:val="00991313"/>
    <w:rsid w:val="00993FAD"/>
    <w:rsid w:val="0099503F"/>
    <w:rsid w:val="00997340"/>
    <w:rsid w:val="009A307C"/>
    <w:rsid w:val="009A4A7E"/>
    <w:rsid w:val="009A7E3A"/>
    <w:rsid w:val="009B1265"/>
    <w:rsid w:val="009B361B"/>
    <w:rsid w:val="009B4A15"/>
    <w:rsid w:val="009B5693"/>
    <w:rsid w:val="009B5766"/>
    <w:rsid w:val="009B6C05"/>
    <w:rsid w:val="009C13C5"/>
    <w:rsid w:val="009C61A2"/>
    <w:rsid w:val="009C6730"/>
    <w:rsid w:val="009C78E4"/>
    <w:rsid w:val="009D2874"/>
    <w:rsid w:val="009D47F1"/>
    <w:rsid w:val="009D5643"/>
    <w:rsid w:val="009D687E"/>
    <w:rsid w:val="009E12A5"/>
    <w:rsid w:val="009E73BC"/>
    <w:rsid w:val="009F6DE7"/>
    <w:rsid w:val="009F79AB"/>
    <w:rsid w:val="00A01597"/>
    <w:rsid w:val="00A03B09"/>
    <w:rsid w:val="00A074A8"/>
    <w:rsid w:val="00A10583"/>
    <w:rsid w:val="00A10945"/>
    <w:rsid w:val="00A119AB"/>
    <w:rsid w:val="00A15A56"/>
    <w:rsid w:val="00A20B4E"/>
    <w:rsid w:val="00A217DC"/>
    <w:rsid w:val="00A21A98"/>
    <w:rsid w:val="00A22467"/>
    <w:rsid w:val="00A25393"/>
    <w:rsid w:val="00A27AB7"/>
    <w:rsid w:val="00A3093B"/>
    <w:rsid w:val="00A31C2B"/>
    <w:rsid w:val="00A32FCB"/>
    <w:rsid w:val="00A37FCB"/>
    <w:rsid w:val="00A51E2E"/>
    <w:rsid w:val="00A523A8"/>
    <w:rsid w:val="00A5279A"/>
    <w:rsid w:val="00A54863"/>
    <w:rsid w:val="00A55755"/>
    <w:rsid w:val="00A5679E"/>
    <w:rsid w:val="00A61D74"/>
    <w:rsid w:val="00A64092"/>
    <w:rsid w:val="00A71E2E"/>
    <w:rsid w:val="00A726E6"/>
    <w:rsid w:val="00A74564"/>
    <w:rsid w:val="00A827D3"/>
    <w:rsid w:val="00A83C26"/>
    <w:rsid w:val="00A843F8"/>
    <w:rsid w:val="00A8688B"/>
    <w:rsid w:val="00A91163"/>
    <w:rsid w:val="00A9286F"/>
    <w:rsid w:val="00A96255"/>
    <w:rsid w:val="00A9780B"/>
    <w:rsid w:val="00A97CF9"/>
    <w:rsid w:val="00AA18C9"/>
    <w:rsid w:val="00AA2C1E"/>
    <w:rsid w:val="00AA612F"/>
    <w:rsid w:val="00AB0BE5"/>
    <w:rsid w:val="00AB285B"/>
    <w:rsid w:val="00AB5661"/>
    <w:rsid w:val="00AB5DC5"/>
    <w:rsid w:val="00AB667F"/>
    <w:rsid w:val="00AB6BF1"/>
    <w:rsid w:val="00AD46D7"/>
    <w:rsid w:val="00AE502C"/>
    <w:rsid w:val="00AF0CC9"/>
    <w:rsid w:val="00AF5552"/>
    <w:rsid w:val="00AF5CB4"/>
    <w:rsid w:val="00AF5ED1"/>
    <w:rsid w:val="00AF71D6"/>
    <w:rsid w:val="00B03BAE"/>
    <w:rsid w:val="00B12CB0"/>
    <w:rsid w:val="00B140D5"/>
    <w:rsid w:val="00B14338"/>
    <w:rsid w:val="00B216EE"/>
    <w:rsid w:val="00B3175F"/>
    <w:rsid w:val="00B31E2C"/>
    <w:rsid w:val="00B329B0"/>
    <w:rsid w:val="00B352C7"/>
    <w:rsid w:val="00B402D8"/>
    <w:rsid w:val="00B41CAC"/>
    <w:rsid w:val="00B4237C"/>
    <w:rsid w:val="00B42FE8"/>
    <w:rsid w:val="00B44502"/>
    <w:rsid w:val="00B4747E"/>
    <w:rsid w:val="00B525BB"/>
    <w:rsid w:val="00B52AFD"/>
    <w:rsid w:val="00B532CC"/>
    <w:rsid w:val="00B53FCE"/>
    <w:rsid w:val="00B54077"/>
    <w:rsid w:val="00B57BB4"/>
    <w:rsid w:val="00B603C5"/>
    <w:rsid w:val="00B610D3"/>
    <w:rsid w:val="00B72002"/>
    <w:rsid w:val="00B8087E"/>
    <w:rsid w:val="00B80A82"/>
    <w:rsid w:val="00B85A69"/>
    <w:rsid w:val="00B86A5F"/>
    <w:rsid w:val="00B86EDF"/>
    <w:rsid w:val="00B9169B"/>
    <w:rsid w:val="00B965D1"/>
    <w:rsid w:val="00BA6B5A"/>
    <w:rsid w:val="00BA718C"/>
    <w:rsid w:val="00BB0169"/>
    <w:rsid w:val="00BB1FF6"/>
    <w:rsid w:val="00BB4C1E"/>
    <w:rsid w:val="00BB646E"/>
    <w:rsid w:val="00BC4D83"/>
    <w:rsid w:val="00BC622E"/>
    <w:rsid w:val="00BC6E24"/>
    <w:rsid w:val="00BD1BA1"/>
    <w:rsid w:val="00BD2F75"/>
    <w:rsid w:val="00BD3891"/>
    <w:rsid w:val="00BD6676"/>
    <w:rsid w:val="00BE19A4"/>
    <w:rsid w:val="00BF0B86"/>
    <w:rsid w:val="00BF5890"/>
    <w:rsid w:val="00BF5C95"/>
    <w:rsid w:val="00C019E5"/>
    <w:rsid w:val="00C0490E"/>
    <w:rsid w:val="00C07A6A"/>
    <w:rsid w:val="00C16F7A"/>
    <w:rsid w:val="00C17175"/>
    <w:rsid w:val="00C1772C"/>
    <w:rsid w:val="00C3320F"/>
    <w:rsid w:val="00C33EB5"/>
    <w:rsid w:val="00C35BC4"/>
    <w:rsid w:val="00C36D6E"/>
    <w:rsid w:val="00C406E2"/>
    <w:rsid w:val="00C41F96"/>
    <w:rsid w:val="00C42780"/>
    <w:rsid w:val="00C43F5B"/>
    <w:rsid w:val="00C513BE"/>
    <w:rsid w:val="00C557CC"/>
    <w:rsid w:val="00C601C6"/>
    <w:rsid w:val="00C62A5F"/>
    <w:rsid w:val="00C65D50"/>
    <w:rsid w:val="00C67407"/>
    <w:rsid w:val="00C747F5"/>
    <w:rsid w:val="00C8603C"/>
    <w:rsid w:val="00C90FA7"/>
    <w:rsid w:val="00C92E6C"/>
    <w:rsid w:val="00C94743"/>
    <w:rsid w:val="00C951C7"/>
    <w:rsid w:val="00C9539D"/>
    <w:rsid w:val="00CA1F46"/>
    <w:rsid w:val="00CA6DAB"/>
    <w:rsid w:val="00CA7DDC"/>
    <w:rsid w:val="00CB095E"/>
    <w:rsid w:val="00CB10BA"/>
    <w:rsid w:val="00CB22D2"/>
    <w:rsid w:val="00CB28DC"/>
    <w:rsid w:val="00CB4371"/>
    <w:rsid w:val="00CC016B"/>
    <w:rsid w:val="00CC1839"/>
    <w:rsid w:val="00CC2D70"/>
    <w:rsid w:val="00CC516D"/>
    <w:rsid w:val="00CC652D"/>
    <w:rsid w:val="00CD0583"/>
    <w:rsid w:val="00CE125A"/>
    <w:rsid w:val="00CE41B9"/>
    <w:rsid w:val="00CE5535"/>
    <w:rsid w:val="00CE76AF"/>
    <w:rsid w:val="00CF114B"/>
    <w:rsid w:val="00CF2BC7"/>
    <w:rsid w:val="00D043DC"/>
    <w:rsid w:val="00D0492A"/>
    <w:rsid w:val="00D1242A"/>
    <w:rsid w:val="00D12859"/>
    <w:rsid w:val="00D153F4"/>
    <w:rsid w:val="00D16031"/>
    <w:rsid w:val="00D21457"/>
    <w:rsid w:val="00D22A18"/>
    <w:rsid w:val="00D24330"/>
    <w:rsid w:val="00D24CAA"/>
    <w:rsid w:val="00D3101C"/>
    <w:rsid w:val="00D40056"/>
    <w:rsid w:val="00D41F78"/>
    <w:rsid w:val="00D44D38"/>
    <w:rsid w:val="00D51AD9"/>
    <w:rsid w:val="00D51E7C"/>
    <w:rsid w:val="00D52276"/>
    <w:rsid w:val="00D5351A"/>
    <w:rsid w:val="00D5409B"/>
    <w:rsid w:val="00D54F29"/>
    <w:rsid w:val="00D57180"/>
    <w:rsid w:val="00D600B2"/>
    <w:rsid w:val="00D63C25"/>
    <w:rsid w:val="00D7020C"/>
    <w:rsid w:val="00D70AD9"/>
    <w:rsid w:val="00D70C31"/>
    <w:rsid w:val="00D72152"/>
    <w:rsid w:val="00D721E7"/>
    <w:rsid w:val="00D735B4"/>
    <w:rsid w:val="00D73AE4"/>
    <w:rsid w:val="00D775A6"/>
    <w:rsid w:val="00D77DEA"/>
    <w:rsid w:val="00D80FEC"/>
    <w:rsid w:val="00D86704"/>
    <w:rsid w:val="00D867EB"/>
    <w:rsid w:val="00D905E6"/>
    <w:rsid w:val="00D92055"/>
    <w:rsid w:val="00D9325E"/>
    <w:rsid w:val="00D93CA4"/>
    <w:rsid w:val="00D94191"/>
    <w:rsid w:val="00D94BA5"/>
    <w:rsid w:val="00D9508E"/>
    <w:rsid w:val="00D9510F"/>
    <w:rsid w:val="00DA0964"/>
    <w:rsid w:val="00DA4442"/>
    <w:rsid w:val="00DA4B27"/>
    <w:rsid w:val="00DA58E4"/>
    <w:rsid w:val="00DA615C"/>
    <w:rsid w:val="00DB377C"/>
    <w:rsid w:val="00DB58B8"/>
    <w:rsid w:val="00DB6A93"/>
    <w:rsid w:val="00DB6EC4"/>
    <w:rsid w:val="00DC0032"/>
    <w:rsid w:val="00DC14EA"/>
    <w:rsid w:val="00DC5C00"/>
    <w:rsid w:val="00DC6614"/>
    <w:rsid w:val="00DC6DA2"/>
    <w:rsid w:val="00DC75E6"/>
    <w:rsid w:val="00DD089E"/>
    <w:rsid w:val="00DD0EA3"/>
    <w:rsid w:val="00DD1BC6"/>
    <w:rsid w:val="00DD36BB"/>
    <w:rsid w:val="00DD48C1"/>
    <w:rsid w:val="00DD567E"/>
    <w:rsid w:val="00DD7844"/>
    <w:rsid w:val="00DE16A2"/>
    <w:rsid w:val="00DE27C9"/>
    <w:rsid w:val="00DE3E5D"/>
    <w:rsid w:val="00DE5DC3"/>
    <w:rsid w:val="00DF082D"/>
    <w:rsid w:val="00DF4FFA"/>
    <w:rsid w:val="00DF6488"/>
    <w:rsid w:val="00E00D8A"/>
    <w:rsid w:val="00E0474A"/>
    <w:rsid w:val="00E05BC1"/>
    <w:rsid w:val="00E100A8"/>
    <w:rsid w:val="00E1050F"/>
    <w:rsid w:val="00E11604"/>
    <w:rsid w:val="00E11D92"/>
    <w:rsid w:val="00E130A0"/>
    <w:rsid w:val="00E1389A"/>
    <w:rsid w:val="00E14AA5"/>
    <w:rsid w:val="00E162E1"/>
    <w:rsid w:val="00E17D21"/>
    <w:rsid w:val="00E210C4"/>
    <w:rsid w:val="00E22A4D"/>
    <w:rsid w:val="00E23DB7"/>
    <w:rsid w:val="00E23DB9"/>
    <w:rsid w:val="00E271E7"/>
    <w:rsid w:val="00E308C4"/>
    <w:rsid w:val="00E33082"/>
    <w:rsid w:val="00E34048"/>
    <w:rsid w:val="00E36351"/>
    <w:rsid w:val="00E36C94"/>
    <w:rsid w:val="00E43476"/>
    <w:rsid w:val="00E45642"/>
    <w:rsid w:val="00E45C67"/>
    <w:rsid w:val="00E46D96"/>
    <w:rsid w:val="00E52CCA"/>
    <w:rsid w:val="00E6166B"/>
    <w:rsid w:val="00E630F5"/>
    <w:rsid w:val="00E63AD5"/>
    <w:rsid w:val="00E63F80"/>
    <w:rsid w:val="00E66409"/>
    <w:rsid w:val="00E71E66"/>
    <w:rsid w:val="00E72CC0"/>
    <w:rsid w:val="00E76055"/>
    <w:rsid w:val="00E80047"/>
    <w:rsid w:val="00E80436"/>
    <w:rsid w:val="00E80601"/>
    <w:rsid w:val="00E80663"/>
    <w:rsid w:val="00E81D5B"/>
    <w:rsid w:val="00E86134"/>
    <w:rsid w:val="00E93E5E"/>
    <w:rsid w:val="00E968AB"/>
    <w:rsid w:val="00E976B9"/>
    <w:rsid w:val="00E97BC1"/>
    <w:rsid w:val="00EA0258"/>
    <w:rsid w:val="00EA05D3"/>
    <w:rsid w:val="00EA0AD0"/>
    <w:rsid w:val="00EA4A45"/>
    <w:rsid w:val="00EA6702"/>
    <w:rsid w:val="00EB19AD"/>
    <w:rsid w:val="00EB2F31"/>
    <w:rsid w:val="00EB43E4"/>
    <w:rsid w:val="00EB4CF7"/>
    <w:rsid w:val="00EB6493"/>
    <w:rsid w:val="00EB7F3E"/>
    <w:rsid w:val="00EB7FF1"/>
    <w:rsid w:val="00EC2915"/>
    <w:rsid w:val="00EC51ED"/>
    <w:rsid w:val="00ED05A9"/>
    <w:rsid w:val="00ED09C2"/>
    <w:rsid w:val="00ED1BA0"/>
    <w:rsid w:val="00ED2150"/>
    <w:rsid w:val="00ED4184"/>
    <w:rsid w:val="00EE4F81"/>
    <w:rsid w:val="00EE5BDD"/>
    <w:rsid w:val="00EE5ED4"/>
    <w:rsid w:val="00EF0336"/>
    <w:rsid w:val="00EF05A3"/>
    <w:rsid w:val="00EF79A0"/>
    <w:rsid w:val="00F01316"/>
    <w:rsid w:val="00F033A9"/>
    <w:rsid w:val="00F10955"/>
    <w:rsid w:val="00F113D4"/>
    <w:rsid w:val="00F161C0"/>
    <w:rsid w:val="00F17257"/>
    <w:rsid w:val="00F21D4A"/>
    <w:rsid w:val="00F240E8"/>
    <w:rsid w:val="00F3478D"/>
    <w:rsid w:val="00F34D24"/>
    <w:rsid w:val="00F36A6C"/>
    <w:rsid w:val="00F36C30"/>
    <w:rsid w:val="00F4130B"/>
    <w:rsid w:val="00F41B2C"/>
    <w:rsid w:val="00F42189"/>
    <w:rsid w:val="00F44947"/>
    <w:rsid w:val="00F45274"/>
    <w:rsid w:val="00F45B63"/>
    <w:rsid w:val="00F47DB2"/>
    <w:rsid w:val="00F515D2"/>
    <w:rsid w:val="00F554C8"/>
    <w:rsid w:val="00F556A2"/>
    <w:rsid w:val="00F635C7"/>
    <w:rsid w:val="00F67FDE"/>
    <w:rsid w:val="00F70EE8"/>
    <w:rsid w:val="00F719A8"/>
    <w:rsid w:val="00F802C0"/>
    <w:rsid w:val="00F811AE"/>
    <w:rsid w:val="00F836C3"/>
    <w:rsid w:val="00F86545"/>
    <w:rsid w:val="00F878B9"/>
    <w:rsid w:val="00F904A3"/>
    <w:rsid w:val="00F91E74"/>
    <w:rsid w:val="00F92000"/>
    <w:rsid w:val="00F92859"/>
    <w:rsid w:val="00F928EC"/>
    <w:rsid w:val="00F92AAD"/>
    <w:rsid w:val="00F942D9"/>
    <w:rsid w:val="00F97420"/>
    <w:rsid w:val="00FA0592"/>
    <w:rsid w:val="00FA0BBC"/>
    <w:rsid w:val="00FA18E3"/>
    <w:rsid w:val="00FA41EE"/>
    <w:rsid w:val="00FA4BE0"/>
    <w:rsid w:val="00FA566A"/>
    <w:rsid w:val="00FB24E8"/>
    <w:rsid w:val="00FB3077"/>
    <w:rsid w:val="00FB3B2B"/>
    <w:rsid w:val="00FB7836"/>
    <w:rsid w:val="00FC18DA"/>
    <w:rsid w:val="00FC2713"/>
    <w:rsid w:val="00FC2934"/>
    <w:rsid w:val="00FC3917"/>
    <w:rsid w:val="00FC3C65"/>
    <w:rsid w:val="00FC5B65"/>
    <w:rsid w:val="00FC6802"/>
    <w:rsid w:val="00FC6851"/>
    <w:rsid w:val="00FC7DEC"/>
    <w:rsid w:val="00FD0512"/>
    <w:rsid w:val="00FD4552"/>
    <w:rsid w:val="00FD5052"/>
    <w:rsid w:val="00FD60DA"/>
    <w:rsid w:val="00FD7B27"/>
    <w:rsid w:val="00FE2DD1"/>
    <w:rsid w:val="00FE61B4"/>
    <w:rsid w:val="00FF0256"/>
    <w:rsid w:val="00FF07B4"/>
    <w:rsid w:val="00FF2D55"/>
    <w:rsid w:val="00FF363B"/>
    <w:rsid w:val="00FF5118"/>
    <w:rsid w:val="00FF6E1A"/>
    <w:rsid w:val="0E25B8B3"/>
    <w:rsid w:val="223C0201"/>
    <w:rsid w:val="2AE5D602"/>
    <w:rsid w:val="45F88CCC"/>
    <w:rsid w:val="4D1B34F5"/>
    <w:rsid w:val="5806F14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88872ADA-E4A4-4416-8CC7-45885348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EE"/>
  </w:style>
  <w:style w:type="paragraph" w:styleId="Heading1">
    <w:name w:val="heading 1"/>
    <w:basedOn w:val="Normal"/>
    <w:next w:val="Normal"/>
    <w:link w:val="Heading1Char"/>
    <w:uiPriority w:val="9"/>
    <w:qFormat/>
    <w:rsid w:val="00FA41E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FA4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FA41EE"/>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FA41EE"/>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FA41EE"/>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Date">
    <w:name w:val="Date"/>
    <w:basedOn w:val="Normal"/>
    <w:next w:val="Normal"/>
    <w:link w:val="DateChar"/>
    <w:uiPriority w:val="99"/>
    <w:semiHidden/>
    <w:unhideWhenUsed/>
    <w:rsid w:val="00BF0B86"/>
  </w:style>
  <w:style w:type="character" w:customStyle="1" w:styleId="DateChar">
    <w:name w:val="Date Char"/>
    <w:basedOn w:val="DefaultParagraphFont"/>
    <w:link w:val="Date"/>
    <w:uiPriority w:val="99"/>
    <w:semiHidden/>
    <w:rsid w:val="00BF0B86"/>
  </w:style>
  <w:style w:type="character" w:styleId="FollowedHyperlink">
    <w:name w:val="FollowedHyperlink"/>
    <w:uiPriority w:val="99"/>
    <w:semiHidden/>
    <w:unhideWhenUsed/>
    <w:rsid w:val="00FA41EE"/>
    <w:rPr>
      <w:color w:val="954F72"/>
      <w:u w:val="single"/>
    </w:rPr>
  </w:style>
  <w:style w:type="paragraph" w:styleId="Revision">
    <w:name w:val="Revision"/>
    <w:hidden/>
    <w:uiPriority w:val="99"/>
    <w:semiHidden/>
    <w:rsid w:val="00FA41EE"/>
    <w:pPr>
      <w:spacing w:after="0" w:line="240" w:lineRule="auto"/>
    </w:pPr>
    <w:rPr>
      <w:rFonts w:ascii="Calibri" w:eastAsia="SimSun" w:hAnsi="Calibri" w:cs="Arial"/>
    </w:rPr>
  </w:style>
  <w:style w:type="paragraph" w:styleId="NormalWeb">
    <w:name w:val="Normal (Web)"/>
    <w:basedOn w:val="Normal"/>
    <w:uiPriority w:val="99"/>
    <w:unhideWhenUsed/>
    <w:rsid w:val="006920A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2097">
      <w:bodyDiv w:val="1"/>
      <w:marLeft w:val="0"/>
      <w:marRight w:val="0"/>
      <w:marTop w:val="0"/>
      <w:marBottom w:val="0"/>
      <w:divBdr>
        <w:top w:val="none" w:sz="0" w:space="0" w:color="auto"/>
        <w:left w:val="none" w:sz="0" w:space="0" w:color="auto"/>
        <w:bottom w:val="none" w:sz="0" w:space="0" w:color="auto"/>
        <w:right w:val="none" w:sz="0" w:space="0" w:color="auto"/>
      </w:divBdr>
      <w:divsChild>
        <w:div w:id="1652521265">
          <w:marLeft w:val="0"/>
          <w:marRight w:val="0"/>
          <w:marTop w:val="0"/>
          <w:marBottom w:val="0"/>
          <w:divBdr>
            <w:top w:val="none" w:sz="0" w:space="0" w:color="auto"/>
            <w:left w:val="none" w:sz="0" w:space="0" w:color="auto"/>
            <w:bottom w:val="none" w:sz="0" w:space="0" w:color="auto"/>
            <w:right w:val="none" w:sz="0" w:space="0" w:color="auto"/>
          </w:divBdr>
          <w:divsChild>
            <w:div w:id="785588345">
              <w:marLeft w:val="0"/>
              <w:marRight w:val="0"/>
              <w:marTop w:val="0"/>
              <w:marBottom w:val="0"/>
              <w:divBdr>
                <w:top w:val="none" w:sz="0" w:space="0" w:color="auto"/>
                <w:left w:val="none" w:sz="0" w:space="0" w:color="auto"/>
                <w:bottom w:val="none" w:sz="0" w:space="0" w:color="auto"/>
                <w:right w:val="none" w:sz="0" w:space="0" w:color="auto"/>
              </w:divBdr>
              <w:divsChild>
                <w:div w:id="488449141">
                  <w:marLeft w:val="0"/>
                  <w:marRight w:val="0"/>
                  <w:marTop w:val="0"/>
                  <w:marBottom w:val="0"/>
                  <w:divBdr>
                    <w:top w:val="none" w:sz="0" w:space="0" w:color="auto"/>
                    <w:left w:val="none" w:sz="0" w:space="0" w:color="auto"/>
                    <w:bottom w:val="none" w:sz="0" w:space="0" w:color="auto"/>
                    <w:right w:val="none" w:sz="0" w:space="0" w:color="auto"/>
                  </w:divBdr>
                  <w:divsChild>
                    <w:div w:id="182723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46322">
      <w:bodyDiv w:val="1"/>
      <w:marLeft w:val="0"/>
      <w:marRight w:val="0"/>
      <w:marTop w:val="0"/>
      <w:marBottom w:val="0"/>
      <w:divBdr>
        <w:top w:val="none" w:sz="0" w:space="0" w:color="auto"/>
        <w:left w:val="none" w:sz="0" w:space="0" w:color="auto"/>
        <w:bottom w:val="none" w:sz="0" w:space="0" w:color="auto"/>
        <w:right w:val="none" w:sz="0" w:space="0" w:color="auto"/>
      </w:divBdr>
      <w:divsChild>
        <w:div w:id="1814903422">
          <w:marLeft w:val="0"/>
          <w:marRight w:val="0"/>
          <w:marTop w:val="0"/>
          <w:marBottom w:val="0"/>
          <w:divBdr>
            <w:top w:val="none" w:sz="0" w:space="0" w:color="auto"/>
            <w:left w:val="none" w:sz="0" w:space="0" w:color="auto"/>
            <w:bottom w:val="none" w:sz="0" w:space="0" w:color="auto"/>
            <w:right w:val="none" w:sz="0" w:space="0" w:color="auto"/>
          </w:divBdr>
          <w:divsChild>
            <w:div w:id="1769694625">
              <w:marLeft w:val="0"/>
              <w:marRight w:val="0"/>
              <w:marTop w:val="0"/>
              <w:marBottom w:val="0"/>
              <w:divBdr>
                <w:top w:val="none" w:sz="0" w:space="0" w:color="auto"/>
                <w:left w:val="none" w:sz="0" w:space="0" w:color="auto"/>
                <w:bottom w:val="none" w:sz="0" w:space="0" w:color="auto"/>
                <w:right w:val="none" w:sz="0" w:space="0" w:color="auto"/>
              </w:divBdr>
              <w:divsChild>
                <w:div w:id="882400936">
                  <w:marLeft w:val="0"/>
                  <w:marRight w:val="0"/>
                  <w:marTop w:val="0"/>
                  <w:marBottom w:val="0"/>
                  <w:divBdr>
                    <w:top w:val="none" w:sz="0" w:space="0" w:color="auto"/>
                    <w:left w:val="none" w:sz="0" w:space="0" w:color="auto"/>
                    <w:bottom w:val="none" w:sz="0" w:space="0" w:color="auto"/>
                    <w:right w:val="none" w:sz="0" w:space="0" w:color="auto"/>
                  </w:divBdr>
                  <w:divsChild>
                    <w:div w:id="210190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430491">
      <w:bodyDiv w:val="1"/>
      <w:marLeft w:val="0"/>
      <w:marRight w:val="0"/>
      <w:marTop w:val="0"/>
      <w:marBottom w:val="0"/>
      <w:divBdr>
        <w:top w:val="none" w:sz="0" w:space="0" w:color="auto"/>
        <w:left w:val="none" w:sz="0" w:space="0" w:color="auto"/>
        <w:bottom w:val="none" w:sz="0" w:space="0" w:color="auto"/>
        <w:right w:val="none" w:sz="0" w:space="0" w:color="auto"/>
      </w:divBdr>
    </w:div>
    <w:div w:id="376853017">
      <w:bodyDiv w:val="1"/>
      <w:marLeft w:val="0"/>
      <w:marRight w:val="0"/>
      <w:marTop w:val="0"/>
      <w:marBottom w:val="0"/>
      <w:divBdr>
        <w:top w:val="none" w:sz="0" w:space="0" w:color="auto"/>
        <w:left w:val="none" w:sz="0" w:space="0" w:color="auto"/>
        <w:bottom w:val="none" w:sz="0" w:space="0" w:color="auto"/>
        <w:right w:val="none" w:sz="0" w:space="0" w:color="auto"/>
      </w:divBdr>
      <w:divsChild>
        <w:div w:id="483817010">
          <w:marLeft w:val="0"/>
          <w:marRight w:val="0"/>
          <w:marTop w:val="0"/>
          <w:marBottom w:val="0"/>
          <w:divBdr>
            <w:top w:val="none" w:sz="0" w:space="0" w:color="auto"/>
            <w:left w:val="none" w:sz="0" w:space="0" w:color="auto"/>
            <w:bottom w:val="none" w:sz="0" w:space="0" w:color="auto"/>
            <w:right w:val="none" w:sz="0" w:space="0" w:color="auto"/>
          </w:divBdr>
          <w:divsChild>
            <w:div w:id="1474256883">
              <w:marLeft w:val="0"/>
              <w:marRight w:val="0"/>
              <w:marTop w:val="0"/>
              <w:marBottom w:val="0"/>
              <w:divBdr>
                <w:top w:val="none" w:sz="0" w:space="0" w:color="auto"/>
                <w:left w:val="none" w:sz="0" w:space="0" w:color="auto"/>
                <w:bottom w:val="none" w:sz="0" w:space="0" w:color="auto"/>
                <w:right w:val="none" w:sz="0" w:space="0" w:color="auto"/>
              </w:divBdr>
              <w:divsChild>
                <w:div w:id="1101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86768">
      <w:bodyDiv w:val="1"/>
      <w:marLeft w:val="0"/>
      <w:marRight w:val="0"/>
      <w:marTop w:val="0"/>
      <w:marBottom w:val="0"/>
      <w:divBdr>
        <w:top w:val="none" w:sz="0" w:space="0" w:color="auto"/>
        <w:left w:val="none" w:sz="0" w:space="0" w:color="auto"/>
        <w:bottom w:val="none" w:sz="0" w:space="0" w:color="auto"/>
        <w:right w:val="none" w:sz="0" w:space="0" w:color="auto"/>
      </w:divBdr>
      <w:divsChild>
        <w:div w:id="768815952">
          <w:marLeft w:val="300"/>
          <w:marRight w:val="0"/>
          <w:marTop w:val="120"/>
          <w:marBottom w:val="120"/>
          <w:divBdr>
            <w:top w:val="none" w:sz="0" w:space="0" w:color="auto"/>
            <w:left w:val="none" w:sz="0" w:space="0" w:color="auto"/>
            <w:bottom w:val="none" w:sz="0" w:space="0" w:color="auto"/>
            <w:right w:val="none" w:sz="0" w:space="0" w:color="auto"/>
          </w:divBdr>
        </w:div>
      </w:divsChild>
    </w:div>
    <w:div w:id="584337085">
      <w:bodyDiv w:val="1"/>
      <w:marLeft w:val="0"/>
      <w:marRight w:val="0"/>
      <w:marTop w:val="0"/>
      <w:marBottom w:val="0"/>
      <w:divBdr>
        <w:top w:val="none" w:sz="0" w:space="0" w:color="auto"/>
        <w:left w:val="none" w:sz="0" w:space="0" w:color="auto"/>
        <w:bottom w:val="none" w:sz="0" w:space="0" w:color="auto"/>
        <w:right w:val="none" w:sz="0" w:space="0" w:color="auto"/>
      </w:divBdr>
      <w:divsChild>
        <w:div w:id="466506905">
          <w:marLeft w:val="0"/>
          <w:marRight w:val="0"/>
          <w:marTop w:val="0"/>
          <w:marBottom w:val="0"/>
          <w:divBdr>
            <w:top w:val="none" w:sz="0" w:space="0" w:color="auto"/>
            <w:left w:val="none" w:sz="0" w:space="0" w:color="auto"/>
            <w:bottom w:val="none" w:sz="0" w:space="0" w:color="auto"/>
            <w:right w:val="none" w:sz="0" w:space="0" w:color="auto"/>
          </w:divBdr>
          <w:divsChild>
            <w:div w:id="250165783">
              <w:marLeft w:val="0"/>
              <w:marRight w:val="0"/>
              <w:marTop w:val="0"/>
              <w:marBottom w:val="0"/>
              <w:divBdr>
                <w:top w:val="none" w:sz="0" w:space="0" w:color="auto"/>
                <w:left w:val="none" w:sz="0" w:space="0" w:color="auto"/>
                <w:bottom w:val="none" w:sz="0" w:space="0" w:color="auto"/>
                <w:right w:val="none" w:sz="0" w:space="0" w:color="auto"/>
              </w:divBdr>
              <w:divsChild>
                <w:div w:id="706368081">
                  <w:marLeft w:val="0"/>
                  <w:marRight w:val="0"/>
                  <w:marTop w:val="0"/>
                  <w:marBottom w:val="0"/>
                  <w:divBdr>
                    <w:top w:val="none" w:sz="0" w:space="0" w:color="auto"/>
                    <w:left w:val="none" w:sz="0" w:space="0" w:color="auto"/>
                    <w:bottom w:val="none" w:sz="0" w:space="0" w:color="auto"/>
                    <w:right w:val="none" w:sz="0" w:space="0" w:color="auto"/>
                  </w:divBdr>
                  <w:divsChild>
                    <w:div w:id="104825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06795">
      <w:bodyDiv w:val="1"/>
      <w:marLeft w:val="0"/>
      <w:marRight w:val="0"/>
      <w:marTop w:val="0"/>
      <w:marBottom w:val="0"/>
      <w:divBdr>
        <w:top w:val="none" w:sz="0" w:space="0" w:color="auto"/>
        <w:left w:val="none" w:sz="0" w:space="0" w:color="auto"/>
        <w:bottom w:val="none" w:sz="0" w:space="0" w:color="auto"/>
        <w:right w:val="none" w:sz="0" w:space="0" w:color="auto"/>
      </w:divBdr>
      <w:divsChild>
        <w:div w:id="1661108077">
          <w:marLeft w:val="0"/>
          <w:marRight w:val="0"/>
          <w:marTop w:val="0"/>
          <w:marBottom w:val="0"/>
          <w:divBdr>
            <w:top w:val="none" w:sz="0" w:space="0" w:color="auto"/>
            <w:left w:val="none" w:sz="0" w:space="0" w:color="auto"/>
            <w:bottom w:val="none" w:sz="0" w:space="0" w:color="auto"/>
            <w:right w:val="none" w:sz="0" w:space="0" w:color="auto"/>
          </w:divBdr>
          <w:divsChild>
            <w:div w:id="1022826136">
              <w:marLeft w:val="0"/>
              <w:marRight w:val="0"/>
              <w:marTop w:val="0"/>
              <w:marBottom w:val="0"/>
              <w:divBdr>
                <w:top w:val="none" w:sz="0" w:space="0" w:color="auto"/>
                <w:left w:val="none" w:sz="0" w:space="0" w:color="auto"/>
                <w:bottom w:val="none" w:sz="0" w:space="0" w:color="auto"/>
                <w:right w:val="none" w:sz="0" w:space="0" w:color="auto"/>
              </w:divBdr>
              <w:divsChild>
                <w:div w:id="1955205203">
                  <w:marLeft w:val="0"/>
                  <w:marRight w:val="0"/>
                  <w:marTop w:val="0"/>
                  <w:marBottom w:val="0"/>
                  <w:divBdr>
                    <w:top w:val="none" w:sz="0" w:space="0" w:color="auto"/>
                    <w:left w:val="none" w:sz="0" w:space="0" w:color="auto"/>
                    <w:bottom w:val="none" w:sz="0" w:space="0" w:color="auto"/>
                    <w:right w:val="none" w:sz="0" w:space="0" w:color="auto"/>
                  </w:divBdr>
                  <w:divsChild>
                    <w:div w:id="1042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800742">
      <w:bodyDiv w:val="1"/>
      <w:marLeft w:val="0"/>
      <w:marRight w:val="0"/>
      <w:marTop w:val="0"/>
      <w:marBottom w:val="0"/>
      <w:divBdr>
        <w:top w:val="none" w:sz="0" w:space="0" w:color="auto"/>
        <w:left w:val="none" w:sz="0" w:space="0" w:color="auto"/>
        <w:bottom w:val="none" w:sz="0" w:space="0" w:color="auto"/>
        <w:right w:val="none" w:sz="0" w:space="0" w:color="auto"/>
      </w:divBdr>
      <w:divsChild>
        <w:div w:id="1313681275">
          <w:marLeft w:val="0"/>
          <w:marRight w:val="0"/>
          <w:marTop w:val="0"/>
          <w:marBottom w:val="0"/>
          <w:divBdr>
            <w:top w:val="none" w:sz="0" w:space="0" w:color="auto"/>
            <w:left w:val="none" w:sz="0" w:space="0" w:color="auto"/>
            <w:bottom w:val="none" w:sz="0" w:space="0" w:color="auto"/>
            <w:right w:val="none" w:sz="0" w:space="0" w:color="auto"/>
          </w:divBdr>
          <w:divsChild>
            <w:div w:id="1285649061">
              <w:marLeft w:val="0"/>
              <w:marRight w:val="0"/>
              <w:marTop w:val="0"/>
              <w:marBottom w:val="0"/>
              <w:divBdr>
                <w:top w:val="none" w:sz="0" w:space="0" w:color="auto"/>
                <w:left w:val="none" w:sz="0" w:space="0" w:color="auto"/>
                <w:bottom w:val="none" w:sz="0" w:space="0" w:color="auto"/>
                <w:right w:val="none" w:sz="0" w:space="0" w:color="auto"/>
              </w:divBdr>
              <w:divsChild>
                <w:div w:id="1888100977">
                  <w:marLeft w:val="0"/>
                  <w:marRight w:val="0"/>
                  <w:marTop w:val="0"/>
                  <w:marBottom w:val="0"/>
                  <w:divBdr>
                    <w:top w:val="none" w:sz="0" w:space="0" w:color="auto"/>
                    <w:left w:val="none" w:sz="0" w:space="0" w:color="auto"/>
                    <w:bottom w:val="none" w:sz="0" w:space="0" w:color="auto"/>
                    <w:right w:val="none" w:sz="0" w:space="0" w:color="auto"/>
                  </w:divBdr>
                  <w:divsChild>
                    <w:div w:id="12430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632206">
      <w:bodyDiv w:val="1"/>
      <w:marLeft w:val="0"/>
      <w:marRight w:val="0"/>
      <w:marTop w:val="0"/>
      <w:marBottom w:val="0"/>
      <w:divBdr>
        <w:top w:val="none" w:sz="0" w:space="0" w:color="auto"/>
        <w:left w:val="none" w:sz="0" w:space="0" w:color="auto"/>
        <w:bottom w:val="none" w:sz="0" w:space="0" w:color="auto"/>
        <w:right w:val="none" w:sz="0" w:space="0" w:color="auto"/>
      </w:divBdr>
      <w:divsChild>
        <w:div w:id="1679649417">
          <w:marLeft w:val="0"/>
          <w:marRight w:val="0"/>
          <w:marTop w:val="0"/>
          <w:marBottom w:val="0"/>
          <w:divBdr>
            <w:top w:val="none" w:sz="0" w:space="0" w:color="auto"/>
            <w:left w:val="none" w:sz="0" w:space="0" w:color="auto"/>
            <w:bottom w:val="none" w:sz="0" w:space="0" w:color="auto"/>
            <w:right w:val="none" w:sz="0" w:space="0" w:color="auto"/>
          </w:divBdr>
          <w:divsChild>
            <w:div w:id="974988843">
              <w:marLeft w:val="0"/>
              <w:marRight w:val="0"/>
              <w:marTop w:val="0"/>
              <w:marBottom w:val="0"/>
              <w:divBdr>
                <w:top w:val="none" w:sz="0" w:space="0" w:color="auto"/>
                <w:left w:val="none" w:sz="0" w:space="0" w:color="auto"/>
                <w:bottom w:val="none" w:sz="0" w:space="0" w:color="auto"/>
                <w:right w:val="none" w:sz="0" w:space="0" w:color="auto"/>
              </w:divBdr>
              <w:divsChild>
                <w:div w:id="51859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25204">
      <w:bodyDiv w:val="1"/>
      <w:marLeft w:val="0"/>
      <w:marRight w:val="0"/>
      <w:marTop w:val="0"/>
      <w:marBottom w:val="0"/>
      <w:divBdr>
        <w:top w:val="none" w:sz="0" w:space="0" w:color="auto"/>
        <w:left w:val="none" w:sz="0" w:space="0" w:color="auto"/>
        <w:bottom w:val="none" w:sz="0" w:space="0" w:color="auto"/>
        <w:right w:val="none" w:sz="0" w:space="0" w:color="auto"/>
      </w:divBdr>
    </w:div>
    <w:div w:id="749694626">
      <w:bodyDiv w:val="1"/>
      <w:marLeft w:val="0"/>
      <w:marRight w:val="0"/>
      <w:marTop w:val="0"/>
      <w:marBottom w:val="0"/>
      <w:divBdr>
        <w:top w:val="none" w:sz="0" w:space="0" w:color="auto"/>
        <w:left w:val="none" w:sz="0" w:space="0" w:color="auto"/>
        <w:bottom w:val="none" w:sz="0" w:space="0" w:color="auto"/>
        <w:right w:val="none" w:sz="0" w:space="0" w:color="auto"/>
      </w:divBdr>
      <w:divsChild>
        <w:div w:id="496579952">
          <w:marLeft w:val="0"/>
          <w:marRight w:val="0"/>
          <w:marTop w:val="0"/>
          <w:marBottom w:val="0"/>
          <w:divBdr>
            <w:top w:val="none" w:sz="0" w:space="0" w:color="auto"/>
            <w:left w:val="none" w:sz="0" w:space="0" w:color="auto"/>
            <w:bottom w:val="none" w:sz="0" w:space="0" w:color="auto"/>
            <w:right w:val="none" w:sz="0" w:space="0" w:color="auto"/>
          </w:divBdr>
          <w:divsChild>
            <w:div w:id="792945598">
              <w:marLeft w:val="0"/>
              <w:marRight w:val="0"/>
              <w:marTop w:val="0"/>
              <w:marBottom w:val="0"/>
              <w:divBdr>
                <w:top w:val="none" w:sz="0" w:space="0" w:color="auto"/>
                <w:left w:val="none" w:sz="0" w:space="0" w:color="auto"/>
                <w:bottom w:val="none" w:sz="0" w:space="0" w:color="auto"/>
                <w:right w:val="none" w:sz="0" w:space="0" w:color="auto"/>
              </w:divBdr>
              <w:divsChild>
                <w:div w:id="1344358353">
                  <w:marLeft w:val="0"/>
                  <w:marRight w:val="0"/>
                  <w:marTop w:val="0"/>
                  <w:marBottom w:val="0"/>
                  <w:divBdr>
                    <w:top w:val="none" w:sz="0" w:space="0" w:color="auto"/>
                    <w:left w:val="none" w:sz="0" w:space="0" w:color="auto"/>
                    <w:bottom w:val="none" w:sz="0" w:space="0" w:color="auto"/>
                    <w:right w:val="none" w:sz="0" w:space="0" w:color="auto"/>
                  </w:divBdr>
                  <w:divsChild>
                    <w:div w:id="153553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001472">
      <w:bodyDiv w:val="1"/>
      <w:marLeft w:val="0"/>
      <w:marRight w:val="0"/>
      <w:marTop w:val="0"/>
      <w:marBottom w:val="0"/>
      <w:divBdr>
        <w:top w:val="none" w:sz="0" w:space="0" w:color="auto"/>
        <w:left w:val="none" w:sz="0" w:space="0" w:color="auto"/>
        <w:bottom w:val="none" w:sz="0" w:space="0" w:color="auto"/>
        <w:right w:val="none" w:sz="0" w:space="0" w:color="auto"/>
      </w:divBdr>
      <w:divsChild>
        <w:div w:id="1918049160">
          <w:marLeft w:val="0"/>
          <w:marRight w:val="0"/>
          <w:marTop w:val="0"/>
          <w:marBottom w:val="0"/>
          <w:divBdr>
            <w:top w:val="none" w:sz="0" w:space="0" w:color="auto"/>
            <w:left w:val="none" w:sz="0" w:space="0" w:color="auto"/>
            <w:bottom w:val="none" w:sz="0" w:space="0" w:color="auto"/>
            <w:right w:val="none" w:sz="0" w:space="0" w:color="auto"/>
          </w:divBdr>
          <w:divsChild>
            <w:div w:id="594631005">
              <w:marLeft w:val="0"/>
              <w:marRight w:val="0"/>
              <w:marTop w:val="0"/>
              <w:marBottom w:val="0"/>
              <w:divBdr>
                <w:top w:val="none" w:sz="0" w:space="0" w:color="auto"/>
                <w:left w:val="none" w:sz="0" w:space="0" w:color="auto"/>
                <w:bottom w:val="none" w:sz="0" w:space="0" w:color="auto"/>
                <w:right w:val="none" w:sz="0" w:space="0" w:color="auto"/>
              </w:divBdr>
              <w:divsChild>
                <w:div w:id="15816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053563">
      <w:bodyDiv w:val="1"/>
      <w:marLeft w:val="0"/>
      <w:marRight w:val="0"/>
      <w:marTop w:val="0"/>
      <w:marBottom w:val="0"/>
      <w:divBdr>
        <w:top w:val="none" w:sz="0" w:space="0" w:color="auto"/>
        <w:left w:val="none" w:sz="0" w:space="0" w:color="auto"/>
        <w:bottom w:val="none" w:sz="0" w:space="0" w:color="auto"/>
        <w:right w:val="none" w:sz="0" w:space="0" w:color="auto"/>
      </w:divBdr>
      <w:divsChild>
        <w:div w:id="856038176">
          <w:marLeft w:val="0"/>
          <w:marRight w:val="0"/>
          <w:marTop w:val="0"/>
          <w:marBottom w:val="0"/>
          <w:divBdr>
            <w:top w:val="none" w:sz="0" w:space="0" w:color="auto"/>
            <w:left w:val="none" w:sz="0" w:space="0" w:color="auto"/>
            <w:bottom w:val="none" w:sz="0" w:space="0" w:color="auto"/>
            <w:right w:val="none" w:sz="0" w:space="0" w:color="auto"/>
          </w:divBdr>
          <w:divsChild>
            <w:div w:id="2050566912">
              <w:marLeft w:val="0"/>
              <w:marRight w:val="0"/>
              <w:marTop w:val="0"/>
              <w:marBottom w:val="0"/>
              <w:divBdr>
                <w:top w:val="none" w:sz="0" w:space="0" w:color="auto"/>
                <w:left w:val="none" w:sz="0" w:space="0" w:color="auto"/>
                <w:bottom w:val="none" w:sz="0" w:space="0" w:color="auto"/>
                <w:right w:val="none" w:sz="0" w:space="0" w:color="auto"/>
              </w:divBdr>
              <w:divsChild>
                <w:div w:id="85137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181428">
      <w:bodyDiv w:val="1"/>
      <w:marLeft w:val="0"/>
      <w:marRight w:val="0"/>
      <w:marTop w:val="0"/>
      <w:marBottom w:val="0"/>
      <w:divBdr>
        <w:top w:val="none" w:sz="0" w:space="0" w:color="auto"/>
        <w:left w:val="none" w:sz="0" w:space="0" w:color="auto"/>
        <w:bottom w:val="none" w:sz="0" w:space="0" w:color="auto"/>
        <w:right w:val="none" w:sz="0" w:space="0" w:color="auto"/>
      </w:divBdr>
      <w:divsChild>
        <w:div w:id="1131483459">
          <w:marLeft w:val="0"/>
          <w:marRight w:val="0"/>
          <w:marTop w:val="0"/>
          <w:marBottom w:val="0"/>
          <w:divBdr>
            <w:top w:val="none" w:sz="0" w:space="0" w:color="auto"/>
            <w:left w:val="none" w:sz="0" w:space="0" w:color="auto"/>
            <w:bottom w:val="none" w:sz="0" w:space="0" w:color="auto"/>
            <w:right w:val="none" w:sz="0" w:space="0" w:color="auto"/>
          </w:divBdr>
          <w:divsChild>
            <w:div w:id="892230714">
              <w:marLeft w:val="0"/>
              <w:marRight w:val="0"/>
              <w:marTop w:val="0"/>
              <w:marBottom w:val="0"/>
              <w:divBdr>
                <w:top w:val="none" w:sz="0" w:space="0" w:color="auto"/>
                <w:left w:val="none" w:sz="0" w:space="0" w:color="auto"/>
                <w:bottom w:val="none" w:sz="0" w:space="0" w:color="auto"/>
                <w:right w:val="none" w:sz="0" w:space="0" w:color="auto"/>
              </w:divBdr>
              <w:divsChild>
                <w:div w:id="44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02387">
      <w:bodyDiv w:val="1"/>
      <w:marLeft w:val="0"/>
      <w:marRight w:val="0"/>
      <w:marTop w:val="0"/>
      <w:marBottom w:val="0"/>
      <w:divBdr>
        <w:top w:val="none" w:sz="0" w:space="0" w:color="auto"/>
        <w:left w:val="none" w:sz="0" w:space="0" w:color="auto"/>
        <w:bottom w:val="none" w:sz="0" w:space="0" w:color="auto"/>
        <w:right w:val="none" w:sz="0" w:space="0" w:color="auto"/>
      </w:divBdr>
      <w:divsChild>
        <w:div w:id="1955868216">
          <w:marLeft w:val="0"/>
          <w:marRight w:val="0"/>
          <w:marTop w:val="0"/>
          <w:marBottom w:val="0"/>
          <w:divBdr>
            <w:top w:val="none" w:sz="0" w:space="0" w:color="auto"/>
            <w:left w:val="none" w:sz="0" w:space="0" w:color="auto"/>
            <w:bottom w:val="none" w:sz="0" w:space="0" w:color="auto"/>
            <w:right w:val="none" w:sz="0" w:space="0" w:color="auto"/>
          </w:divBdr>
          <w:divsChild>
            <w:div w:id="974914410">
              <w:marLeft w:val="0"/>
              <w:marRight w:val="0"/>
              <w:marTop w:val="0"/>
              <w:marBottom w:val="0"/>
              <w:divBdr>
                <w:top w:val="none" w:sz="0" w:space="0" w:color="auto"/>
                <w:left w:val="none" w:sz="0" w:space="0" w:color="auto"/>
                <w:bottom w:val="none" w:sz="0" w:space="0" w:color="auto"/>
                <w:right w:val="none" w:sz="0" w:space="0" w:color="auto"/>
              </w:divBdr>
              <w:divsChild>
                <w:div w:id="102933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693481">
      <w:bodyDiv w:val="1"/>
      <w:marLeft w:val="0"/>
      <w:marRight w:val="0"/>
      <w:marTop w:val="0"/>
      <w:marBottom w:val="0"/>
      <w:divBdr>
        <w:top w:val="none" w:sz="0" w:space="0" w:color="auto"/>
        <w:left w:val="none" w:sz="0" w:space="0" w:color="auto"/>
        <w:bottom w:val="none" w:sz="0" w:space="0" w:color="auto"/>
        <w:right w:val="none" w:sz="0" w:space="0" w:color="auto"/>
      </w:divBdr>
      <w:divsChild>
        <w:div w:id="2052072645">
          <w:marLeft w:val="0"/>
          <w:marRight w:val="0"/>
          <w:marTop w:val="0"/>
          <w:marBottom w:val="0"/>
          <w:divBdr>
            <w:top w:val="none" w:sz="0" w:space="0" w:color="auto"/>
            <w:left w:val="none" w:sz="0" w:space="0" w:color="auto"/>
            <w:bottom w:val="none" w:sz="0" w:space="0" w:color="auto"/>
            <w:right w:val="none" w:sz="0" w:space="0" w:color="auto"/>
          </w:divBdr>
          <w:divsChild>
            <w:div w:id="567233337">
              <w:marLeft w:val="0"/>
              <w:marRight w:val="0"/>
              <w:marTop w:val="0"/>
              <w:marBottom w:val="0"/>
              <w:divBdr>
                <w:top w:val="none" w:sz="0" w:space="0" w:color="auto"/>
                <w:left w:val="none" w:sz="0" w:space="0" w:color="auto"/>
                <w:bottom w:val="none" w:sz="0" w:space="0" w:color="auto"/>
                <w:right w:val="none" w:sz="0" w:space="0" w:color="auto"/>
              </w:divBdr>
              <w:divsChild>
                <w:div w:id="37972063">
                  <w:marLeft w:val="0"/>
                  <w:marRight w:val="0"/>
                  <w:marTop w:val="0"/>
                  <w:marBottom w:val="0"/>
                  <w:divBdr>
                    <w:top w:val="none" w:sz="0" w:space="0" w:color="auto"/>
                    <w:left w:val="none" w:sz="0" w:space="0" w:color="auto"/>
                    <w:bottom w:val="none" w:sz="0" w:space="0" w:color="auto"/>
                    <w:right w:val="none" w:sz="0" w:space="0" w:color="auto"/>
                  </w:divBdr>
                  <w:divsChild>
                    <w:div w:id="9273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56799116">
      <w:bodyDiv w:val="1"/>
      <w:marLeft w:val="0"/>
      <w:marRight w:val="0"/>
      <w:marTop w:val="0"/>
      <w:marBottom w:val="0"/>
      <w:divBdr>
        <w:top w:val="none" w:sz="0" w:space="0" w:color="auto"/>
        <w:left w:val="none" w:sz="0" w:space="0" w:color="auto"/>
        <w:bottom w:val="none" w:sz="0" w:space="0" w:color="auto"/>
        <w:right w:val="none" w:sz="0" w:space="0" w:color="auto"/>
      </w:divBdr>
    </w:div>
    <w:div w:id="1402172641">
      <w:bodyDiv w:val="1"/>
      <w:marLeft w:val="0"/>
      <w:marRight w:val="0"/>
      <w:marTop w:val="0"/>
      <w:marBottom w:val="0"/>
      <w:divBdr>
        <w:top w:val="none" w:sz="0" w:space="0" w:color="auto"/>
        <w:left w:val="none" w:sz="0" w:space="0" w:color="auto"/>
        <w:bottom w:val="none" w:sz="0" w:space="0" w:color="auto"/>
        <w:right w:val="none" w:sz="0" w:space="0" w:color="auto"/>
      </w:divBdr>
      <w:divsChild>
        <w:div w:id="29454614">
          <w:marLeft w:val="0"/>
          <w:marRight w:val="0"/>
          <w:marTop w:val="0"/>
          <w:marBottom w:val="0"/>
          <w:divBdr>
            <w:top w:val="none" w:sz="0" w:space="0" w:color="auto"/>
            <w:left w:val="none" w:sz="0" w:space="0" w:color="auto"/>
            <w:bottom w:val="none" w:sz="0" w:space="0" w:color="auto"/>
            <w:right w:val="none" w:sz="0" w:space="0" w:color="auto"/>
          </w:divBdr>
        </w:div>
        <w:div w:id="54620919">
          <w:marLeft w:val="0"/>
          <w:marRight w:val="0"/>
          <w:marTop w:val="0"/>
          <w:marBottom w:val="300"/>
          <w:divBdr>
            <w:top w:val="none" w:sz="0" w:space="0" w:color="auto"/>
            <w:left w:val="none" w:sz="0" w:space="0" w:color="auto"/>
            <w:bottom w:val="none" w:sz="0" w:space="0" w:color="auto"/>
            <w:right w:val="none" w:sz="0" w:space="0" w:color="auto"/>
          </w:divBdr>
        </w:div>
        <w:div w:id="85420649">
          <w:marLeft w:val="0"/>
          <w:marRight w:val="0"/>
          <w:marTop w:val="0"/>
          <w:marBottom w:val="0"/>
          <w:divBdr>
            <w:top w:val="none" w:sz="0" w:space="0" w:color="auto"/>
            <w:left w:val="none" w:sz="0" w:space="0" w:color="auto"/>
            <w:bottom w:val="none" w:sz="0" w:space="0" w:color="auto"/>
            <w:right w:val="none" w:sz="0" w:space="0" w:color="auto"/>
          </w:divBdr>
        </w:div>
      </w:divsChild>
    </w:div>
    <w:div w:id="1422331874">
      <w:bodyDiv w:val="1"/>
      <w:marLeft w:val="0"/>
      <w:marRight w:val="0"/>
      <w:marTop w:val="0"/>
      <w:marBottom w:val="0"/>
      <w:divBdr>
        <w:top w:val="none" w:sz="0" w:space="0" w:color="auto"/>
        <w:left w:val="none" w:sz="0" w:space="0" w:color="auto"/>
        <w:bottom w:val="none" w:sz="0" w:space="0" w:color="auto"/>
        <w:right w:val="none" w:sz="0" w:space="0" w:color="auto"/>
      </w:divBdr>
      <w:divsChild>
        <w:div w:id="1709988923">
          <w:marLeft w:val="0"/>
          <w:marRight w:val="0"/>
          <w:marTop w:val="0"/>
          <w:marBottom w:val="0"/>
          <w:divBdr>
            <w:top w:val="none" w:sz="0" w:space="0" w:color="auto"/>
            <w:left w:val="none" w:sz="0" w:space="0" w:color="auto"/>
            <w:bottom w:val="none" w:sz="0" w:space="0" w:color="auto"/>
            <w:right w:val="none" w:sz="0" w:space="0" w:color="auto"/>
          </w:divBdr>
          <w:divsChild>
            <w:div w:id="660810651">
              <w:marLeft w:val="0"/>
              <w:marRight w:val="0"/>
              <w:marTop w:val="0"/>
              <w:marBottom w:val="0"/>
              <w:divBdr>
                <w:top w:val="none" w:sz="0" w:space="0" w:color="auto"/>
                <w:left w:val="none" w:sz="0" w:space="0" w:color="auto"/>
                <w:bottom w:val="none" w:sz="0" w:space="0" w:color="auto"/>
                <w:right w:val="none" w:sz="0" w:space="0" w:color="auto"/>
              </w:divBdr>
              <w:divsChild>
                <w:div w:id="177111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50818">
      <w:bodyDiv w:val="1"/>
      <w:marLeft w:val="0"/>
      <w:marRight w:val="0"/>
      <w:marTop w:val="0"/>
      <w:marBottom w:val="0"/>
      <w:divBdr>
        <w:top w:val="none" w:sz="0" w:space="0" w:color="auto"/>
        <w:left w:val="none" w:sz="0" w:space="0" w:color="auto"/>
        <w:bottom w:val="none" w:sz="0" w:space="0" w:color="auto"/>
        <w:right w:val="none" w:sz="0" w:space="0" w:color="auto"/>
      </w:divBdr>
    </w:div>
    <w:div w:id="1540358680">
      <w:bodyDiv w:val="1"/>
      <w:marLeft w:val="0"/>
      <w:marRight w:val="0"/>
      <w:marTop w:val="0"/>
      <w:marBottom w:val="0"/>
      <w:divBdr>
        <w:top w:val="none" w:sz="0" w:space="0" w:color="auto"/>
        <w:left w:val="none" w:sz="0" w:space="0" w:color="auto"/>
        <w:bottom w:val="none" w:sz="0" w:space="0" w:color="auto"/>
        <w:right w:val="none" w:sz="0" w:space="0" w:color="auto"/>
      </w:divBdr>
      <w:divsChild>
        <w:div w:id="556086832">
          <w:marLeft w:val="0"/>
          <w:marRight w:val="0"/>
          <w:marTop w:val="0"/>
          <w:marBottom w:val="0"/>
          <w:divBdr>
            <w:top w:val="none" w:sz="0" w:space="0" w:color="auto"/>
            <w:left w:val="none" w:sz="0" w:space="0" w:color="auto"/>
            <w:bottom w:val="none" w:sz="0" w:space="0" w:color="auto"/>
            <w:right w:val="none" w:sz="0" w:space="0" w:color="auto"/>
          </w:divBdr>
          <w:divsChild>
            <w:div w:id="956788788">
              <w:marLeft w:val="0"/>
              <w:marRight w:val="0"/>
              <w:marTop w:val="0"/>
              <w:marBottom w:val="0"/>
              <w:divBdr>
                <w:top w:val="none" w:sz="0" w:space="0" w:color="auto"/>
                <w:left w:val="none" w:sz="0" w:space="0" w:color="auto"/>
                <w:bottom w:val="none" w:sz="0" w:space="0" w:color="auto"/>
                <w:right w:val="none" w:sz="0" w:space="0" w:color="auto"/>
              </w:divBdr>
              <w:divsChild>
                <w:div w:id="2107260630">
                  <w:marLeft w:val="0"/>
                  <w:marRight w:val="0"/>
                  <w:marTop w:val="0"/>
                  <w:marBottom w:val="0"/>
                  <w:divBdr>
                    <w:top w:val="none" w:sz="0" w:space="0" w:color="auto"/>
                    <w:left w:val="none" w:sz="0" w:space="0" w:color="auto"/>
                    <w:bottom w:val="none" w:sz="0" w:space="0" w:color="auto"/>
                    <w:right w:val="none" w:sz="0" w:space="0" w:color="auto"/>
                  </w:divBdr>
                  <w:divsChild>
                    <w:div w:id="27486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88624">
      <w:bodyDiv w:val="1"/>
      <w:marLeft w:val="0"/>
      <w:marRight w:val="0"/>
      <w:marTop w:val="0"/>
      <w:marBottom w:val="0"/>
      <w:divBdr>
        <w:top w:val="none" w:sz="0" w:space="0" w:color="auto"/>
        <w:left w:val="none" w:sz="0" w:space="0" w:color="auto"/>
        <w:bottom w:val="none" w:sz="0" w:space="0" w:color="auto"/>
        <w:right w:val="none" w:sz="0" w:space="0" w:color="auto"/>
      </w:divBdr>
      <w:divsChild>
        <w:div w:id="776482952">
          <w:marLeft w:val="0"/>
          <w:marRight w:val="0"/>
          <w:marTop w:val="0"/>
          <w:marBottom w:val="0"/>
          <w:divBdr>
            <w:top w:val="none" w:sz="0" w:space="0" w:color="auto"/>
            <w:left w:val="none" w:sz="0" w:space="0" w:color="auto"/>
            <w:bottom w:val="none" w:sz="0" w:space="0" w:color="auto"/>
            <w:right w:val="none" w:sz="0" w:space="0" w:color="auto"/>
          </w:divBdr>
          <w:divsChild>
            <w:div w:id="276914527">
              <w:marLeft w:val="0"/>
              <w:marRight w:val="0"/>
              <w:marTop w:val="0"/>
              <w:marBottom w:val="0"/>
              <w:divBdr>
                <w:top w:val="none" w:sz="0" w:space="0" w:color="auto"/>
                <w:left w:val="none" w:sz="0" w:space="0" w:color="auto"/>
                <w:bottom w:val="none" w:sz="0" w:space="0" w:color="auto"/>
                <w:right w:val="none" w:sz="0" w:space="0" w:color="auto"/>
              </w:divBdr>
              <w:divsChild>
                <w:div w:id="165703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01874">
      <w:bodyDiv w:val="1"/>
      <w:marLeft w:val="0"/>
      <w:marRight w:val="0"/>
      <w:marTop w:val="0"/>
      <w:marBottom w:val="0"/>
      <w:divBdr>
        <w:top w:val="none" w:sz="0" w:space="0" w:color="auto"/>
        <w:left w:val="none" w:sz="0" w:space="0" w:color="auto"/>
        <w:bottom w:val="none" w:sz="0" w:space="0" w:color="auto"/>
        <w:right w:val="none" w:sz="0" w:space="0" w:color="auto"/>
      </w:divBdr>
      <w:divsChild>
        <w:div w:id="1698434268">
          <w:marLeft w:val="0"/>
          <w:marRight w:val="0"/>
          <w:marTop w:val="0"/>
          <w:marBottom w:val="0"/>
          <w:divBdr>
            <w:top w:val="none" w:sz="0" w:space="0" w:color="auto"/>
            <w:left w:val="none" w:sz="0" w:space="0" w:color="auto"/>
            <w:bottom w:val="none" w:sz="0" w:space="0" w:color="auto"/>
            <w:right w:val="none" w:sz="0" w:space="0" w:color="auto"/>
          </w:divBdr>
          <w:divsChild>
            <w:div w:id="115222440">
              <w:marLeft w:val="0"/>
              <w:marRight w:val="0"/>
              <w:marTop w:val="0"/>
              <w:marBottom w:val="0"/>
              <w:divBdr>
                <w:top w:val="none" w:sz="0" w:space="0" w:color="auto"/>
                <w:left w:val="none" w:sz="0" w:space="0" w:color="auto"/>
                <w:bottom w:val="none" w:sz="0" w:space="0" w:color="auto"/>
                <w:right w:val="none" w:sz="0" w:space="0" w:color="auto"/>
              </w:divBdr>
              <w:divsChild>
                <w:div w:id="287979717">
                  <w:marLeft w:val="0"/>
                  <w:marRight w:val="0"/>
                  <w:marTop w:val="0"/>
                  <w:marBottom w:val="0"/>
                  <w:divBdr>
                    <w:top w:val="none" w:sz="0" w:space="0" w:color="auto"/>
                    <w:left w:val="none" w:sz="0" w:space="0" w:color="auto"/>
                    <w:bottom w:val="none" w:sz="0" w:space="0" w:color="auto"/>
                    <w:right w:val="none" w:sz="0" w:space="0" w:color="auto"/>
                  </w:divBdr>
                  <w:divsChild>
                    <w:div w:id="16737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6263">
      <w:bodyDiv w:val="1"/>
      <w:marLeft w:val="0"/>
      <w:marRight w:val="0"/>
      <w:marTop w:val="0"/>
      <w:marBottom w:val="0"/>
      <w:divBdr>
        <w:top w:val="none" w:sz="0" w:space="0" w:color="auto"/>
        <w:left w:val="none" w:sz="0" w:space="0" w:color="auto"/>
        <w:bottom w:val="none" w:sz="0" w:space="0" w:color="auto"/>
        <w:right w:val="none" w:sz="0" w:space="0" w:color="auto"/>
      </w:divBdr>
    </w:div>
    <w:div w:id="1667443588">
      <w:bodyDiv w:val="1"/>
      <w:marLeft w:val="0"/>
      <w:marRight w:val="0"/>
      <w:marTop w:val="0"/>
      <w:marBottom w:val="0"/>
      <w:divBdr>
        <w:top w:val="none" w:sz="0" w:space="0" w:color="auto"/>
        <w:left w:val="none" w:sz="0" w:space="0" w:color="auto"/>
        <w:bottom w:val="none" w:sz="0" w:space="0" w:color="auto"/>
        <w:right w:val="none" w:sz="0" w:space="0" w:color="auto"/>
      </w:divBdr>
    </w:div>
    <w:div w:id="1743138570">
      <w:bodyDiv w:val="1"/>
      <w:marLeft w:val="0"/>
      <w:marRight w:val="0"/>
      <w:marTop w:val="0"/>
      <w:marBottom w:val="0"/>
      <w:divBdr>
        <w:top w:val="none" w:sz="0" w:space="0" w:color="auto"/>
        <w:left w:val="none" w:sz="0" w:space="0" w:color="auto"/>
        <w:bottom w:val="none" w:sz="0" w:space="0" w:color="auto"/>
        <w:right w:val="none" w:sz="0" w:space="0" w:color="auto"/>
      </w:divBdr>
      <w:divsChild>
        <w:div w:id="933780943">
          <w:marLeft w:val="0"/>
          <w:marRight w:val="0"/>
          <w:marTop w:val="0"/>
          <w:marBottom w:val="0"/>
          <w:divBdr>
            <w:top w:val="none" w:sz="0" w:space="0" w:color="auto"/>
            <w:left w:val="none" w:sz="0" w:space="0" w:color="auto"/>
            <w:bottom w:val="none" w:sz="0" w:space="0" w:color="auto"/>
            <w:right w:val="none" w:sz="0" w:space="0" w:color="auto"/>
          </w:divBdr>
          <w:divsChild>
            <w:div w:id="2079209023">
              <w:marLeft w:val="0"/>
              <w:marRight w:val="0"/>
              <w:marTop w:val="0"/>
              <w:marBottom w:val="0"/>
              <w:divBdr>
                <w:top w:val="none" w:sz="0" w:space="0" w:color="auto"/>
                <w:left w:val="none" w:sz="0" w:space="0" w:color="auto"/>
                <w:bottom w:val="none" w:sz="0" w:space="0" w:color="auto"/>
                <w:right w:val="none" w:sz="0" w:space="0" w:color="auto"/>
              </w:divBdr>
              <w:divsChild>
                <w:div w:id="3326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26102">
      <w:bodyDiv w:val="1"/>
      <w:marLeft w:val="0"/>
      <w:marRight w:val="0"/>
      <w:marTop w:val="0"/>
      <w:marBottom w:val="0"/>
      <w:divBdr>
        <w:top w:val="none" w:sz="0" w:space="0" w:color="auto"/>
        <w:left w:val="none" w:sz="0" w:space="0" w:color="auto"/>
        <w:bottom w:val="none" w:sz="0" w:space="0" w:color="auto"/>
        <w:right w:val="none" w:sz="0" w:space="0" w:color="auto"/>
      </w:divBdr>
      <w:divsChild>
        <w:div w:id="184291852">
          <w:marLeft w:val="0"/>
          <w:marRight w:val="0"/>
          <w:marTop w:val="0"/>
          <w:marBottom w:val="0"/>
          <w:divBdr>
            <w:top w:val="none" w:sz="0" w:space="0" w:color="auto"/>
            <w:left w:val="none" w:sz="0" w:space="0" w:color="auto"/>
            <w:bottom w:val="none" w:sz="0" w:space="0" w:color="auto"/>
            <w:right w:val="none" w:sz="0" w:space="0" w:color="auto"/>
          </w:divBdr>
        </w:div>
        <w:div w:id="945230575">
          <w:marLeft w:val="0"/>
          <w:marRight w:val="0"/>
          <w:marTop w:val="0"/>
          <w:marBottom w:val="0"/>
          <w:divBdr>
            <w:top w:val="none" w:sz="0" w:space="0" w:color="auto"/>
            <w:left w:val="none" w:sz="0" w:space="0" w:color="auto"/>
            <w:bottom w:val="none" w:sz="0" w:space="0" w:color="auto"/>
            <w:right w:val="none" w:sz="0" w:space="0" w:color="auto"/>
          </w:divBdr>
        </w:div>
        <w:div w:id="1809057175">
          <w:marLeft w:val="0"/>
          <w:marRight w:val="0"/>
          <w:marTop w:val="0"/>
          <w:marBottom w:val="300"/>
          <w:divBdr>
            <w:top w:val="none" w:sz="0" w:space="0" w:color="auto"/>
            <w:left w:val="none" w:sz="0" w:space="0" w:color="auto"/>
            <w:bottom w:val="none" w:sz="0" w:space="0" w:color="auto"/>
            <w:right w:val="none" w:sz="0" w:space="0" w:color="auto"/>
          </w:divBdr>
        </w:div>
      </w:divsChild>
    </w:div>
    <w:div w:id="1954819150">
      <w:bodyDiv w:val="1"/>
      <w:marLeft w:val="0"/>
      <w:marRight w:val="0"/>
      <w:marTop w:val="0"/>
      <w:marBottom w:val="0"/>
      <w:divBdr>
        <w:top w:val="none" w:sz="0" w:space="0" w:color="auto"/>
        <w:left w:val="none" w:sz="0" w:space="0" w:color="auto"/>
        <w:bottom w:val="none" w:sz="0" w:space="0" w:color="auto"/>
        <w:right w:val="none" w:sz="0" w:space="0" w:color="auto"/>
      </w:divBdr>
      <w:divsChild>
        <w:div w:id="1076510767">
          <w:marLeft w:val="0"/>
          <w:marRight w:val="0"/>
          <w:marTop w:val="0"/>
          <w:marBottom w:val="0"/>
          <w:divBdr>
            <w:top w:val="none" w:sz="0" w:space="0" w:color="auto"/>
            <w:left w:val="none" w:sz="0" w:space="0" w:color="auto"/>
            <w:bottom w:val="none" w:sz="0" w:space="0" w:color="auto"/>
            <w:right w:val="none" w:sz="0" w:space="0" w:color="auto"/>
          </w:divBdr>
          <w:divsChild>
            <w:div w:id="1519273400">
              <w:marLeft w:val="0"/>
              <w:marRight w:val="0"/>
              <w:marTop w:val="0"/>
              <w:marBottom w:val="0"/>
              <w:divBdr>
                <w:top w:val="none" w:sz="0" w:space="0" w:color="auto"/>
                <w:left w:val="none" w:sz="0" w:space="0" w:color="auto"/>
                <w:bottom w:val="none" w:sz="0" w:space="0" w:color="auto"/>
                <w:right w:val="none" w:sz="0" w:space="0" w:color="auto"/>
              </w:divBdr>
              <w:divsChild>
                <w:div w:id="223757276">
                  <w:marLeft w:val="0"/>
                  <w:marRight w:val="0"/>
                  <w:marTop w:val="0"/>
                  <w:marBottom w:val="0"/>
                  <w:divBdr>
                    <w:top w:val="none" w:sz="0" w:space="0" w:color="auto"/>
                    <w:left w:val="none" w:sz="0" w:space="0" w:color="auto"/>
                    <w:bottom w:val="none" w:sz="0" w:space="0" w:color="auto"/>
                    <w:right w:val="none" w:sz="0" w:space="0" w:color="auto"/>
                  </w:divBdr>
                  <w:divsChild>
                    <w:div w:id="76233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960110">
      <w:bodyDiv w:val="1"/>
      <w:marLeft w:val="0"/>
      <w:marRight w:val="0"/>
      <w:marTop w:val="0"/>
      <w:marBottom w:val="0"/>
      <w:divBdr>
        <w:top w:val="none" w:sz="0" w:space="0" w:color="auto"/>
        <w:left w:val="none" w:sz="0" w:space="0" w:color="auto"/>
        <w:bottom w:val="none" w:sz="0" w:space="0" w:color="auto"/>
        <w:right w:val="none" w:sz="0" w:space="0" w:color="auto"/>
      </w:divBdr>
      <w:divsChild>
        <w:div w:id="549730608">
          <w:marLeft w:val="0"/>
          <w:marRight w:val="0"/>
          <w:marTop w:val="0"/>
          <w:marBottom w:val="0"/>
          <w:divBdr>
            <w:top w:val="none" w:sz="0" w:space="0" w:color="auto"/>
            <w:left w:val="none" w:sz="0" w:space="0" w:color="auto"/>
            <w:bottom w:val="none" w:sz="0" w:space="0" w:color="auto"/>
            <w:right w:val="none" w:sz="0" w:space="0" w:color="auto"/>
          </w:divBdr>
          <w:divsChild>
            <w:div w:id="1074281720">
              <w:marLeft w:val="0"/>
              <w:marRight w:val="0"/>
              <w:marTop w:val="0"/>
              <w:marBottom w:val="0"/>
              <w:divBdr>
                <w:top w:val="none" w:sz="0" w:space="0" w:color="auto"/>
                <w:left w:val="none" w:sz="0" w:space="0" w:color="auto"/>
                <w:bottom w:val="none" w:sz="0" w:space="0" w:color="auto"/>
                <w:right w:val="none" w:sz="0" w:space="0" w:color="auto"/>
              </w:divBdr>
              <w:divsChild>
                <w:div w:id="98601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trackingenergy4all.worldbank.org/" TargetMode="External"/><Relationship Id="rId18" Type="http://schemas.openxmlformats.org/officeDocument/2006/relationships/hyperlink" Target="https://doi.org/10.1111/rssc.12428"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doi.org/10.1289/ehp.1205987" TargetMode="External"/><Relationship Id="rId7" Type="http://schemas.openxmlformats.org/officeDocument/2006/relationships/styles" Target="styles.xml"/><Relationship Id="rId12" Type="http://schemas.openxmlformats.org/officeDocument/2006/relationships/hyperlink" Target="https://www.who.int/data/gho/data/themes/air-pollution/household-air-pollution" TargetMode="External"/><Relationship Id="rId17" Type="http://schemas.openxmlformats.org/officeDocument/2006/relationships/hyperlink" Target="https://www.who.int/tools/clean-household-energy-solutions-toolki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ho.int/publications/i/item/9789241548885" TargetMode="External"/><Relationship Id="rId20" Type="http://schemas.openxmlformats.org/officeDocument/2006/relationships/hyperlink" Target="https://ehp.niehs.nih.gov/doi/abs/10.1289/ehp.120598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data.worldbank.org/data-catalog/sustainable-energy-for-all" TargetMode="External"/><Relationship Id="rId23"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hyperlink" Target="https://doi.org/10.1038/s41467-021-26036-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rackingenergy4all.worldbank.org/" TargetMode="External"/><Relationship Id="rId22" Type="http://schemas.openxmlformats.org/officeDocument/2006/relationships/hyperlink" Target="https://www.who.int/data/gho/indicator-metadata-registry/imr-details/318"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E1AE97D41949A7BE00AC32E0ED2B46"/>
        <w:category>
          <w:name w:val="General"/>
          <w:gallery w:val="placeholder"/>
        </w:category>
        <w:types>
          <w:type w:val="bbPlcHdr"/>
        </w:types>
        <w:behaviors>
          <w:behavior w:val="content"/>
        </w:behaviors>
        <w:guid w:val="{EC5F4E80-77C7-45B9-93A5-1951CE561F3B}"/>
      </w:docPartPr>
      <w:docPartBody>
        <w:p w:rsidR="00FB2128" w:rsidRDefault="00FB2128">
          <w:pPr>
            <w:pStyle w:val="24E1AE97D41949A7BE00AC32E0ED2B46"/>
          </w:pPr>
          <w:r w:rsidRPr="00E0409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77"/>
    <w:rsid w:val="00066D94"/>
    <w:rsid w:val="000835EB"/>
    <w:rsid w:val="001E650B"/>
    <w:rsid w:val="00234981"/>
    <w:rsid w:val="002A7CAD"/>
    <w:rsid w:val="003F4A9A"/>
    <w:rsid w:val="00403071"/>
    <w:rsid w:val="00486A43"/>
    <w:rsid w:val="004B7F03"/>
    <w:rsid w:val="005E0302"/>
    <w:rsid w:val="006344EA"/>
    <w:rsid w:val="006D1B39"/>
    <w:rsid w:val="006F5E8E"/>
    <w:rsid w:val="007536D3"/>
    <w:rsid w:val="00793443"/>
    <w:rsid w:val="007B19B2"/>
    <w:rsid w:val="007C6CEC"/>
    <w:rsid w:val="007D5C48"/>
    <w:rsid w:val="007D636E"/>
    <w:rsid w:val="007F3077"/>
    <w:rsid w:val="008671A1"/>
    <w:rsid w:val="008D2CB4"/>
    <w:rsid w:val="0093478C"/>
    <w:rsid w:val="00995017"/>
    <w:rsid w:val="00A112DD"/>
    <w:rsid w:val="00A21A98"/>
    <w:rsid w:val="00AA1602"/>
    <w:rsid w:val="00AB5D56"/>
    <w:rsid w:val="00B41CAC"/>
    <w:rsid w:val="00C0708C"/>
    <w:rsid w:val="00C62A5F"/>
    <w:rsid w:val="00CB10BA"/>
    <w:rsid w:val="00CD7B5B"/>
    <w:rsid w:val="00E72CC0"/>
    <w:rsid w:val="00FB21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077"/>
    <w:rPr>
      <w:color w:val="808080"/>
    </w:rPr>
  </w:style>
  <w:style w:type="paragraph" w:customStyle="1" w:styleId="24E1AE97D41949A7BE00AC32E0ED2B46">
    <w:name w:val="24E1AE97D41949A7BE00AC32E0ED2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2315DD55DB34180EF221D8BDCF702" ma:contentTypeVersion="20" ma:contentTypeDescription="Create a new document." ma:contentTypeScope="" ma:versionID="a82d727d686b5316d6e7eaaf242030e4">
  <xsd:schema xmlns:xsd="http://www.w3.org/2001/XMLSchema" xmlns:xs="http://www.w3.org/2001/XMLSchema" xmlns:p="http://schemas.microsoft.com/office/2006/metadata/properties" xmlns:ns2="4b0eb3ee-3961-4a79-8005-080d0b69debd" xmlns:ns3="2074b3b8-ec1c-47fe-980f-58c5f25f6fdf" targetNamespace="http://schemas.microsoft.com/office/2006/metadata/properties" ma:root="true" ma:fieldsID="d9b0a5aff801dffb19a024cf2383635d" ns2:_="" ns3:_="">
    <xsd:import namespace="4b0eb3ee-3961-4a79-8005-080d0b69debd"/>
    <xsd:import namespace="2074b3b8-ec1c-47fe-980f-58c5f25f6f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Carm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eb3ee-3961-4a79-8005-080d0b69de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armen" ma:index="21" nillable="true" ma:displayName="Carmen" ma:description="photo credit" ma:format="Dropdown" ma:list="UserInfo" ma:SharePointGroup="0" ma:internalName="Carm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74b3b8-ec1c-47fe-980f-58c5f25f6fd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ddf1c88-7e96-4625-b75b-be46d8590d33}" ma:internalName="TaxCatchAll" ma:showField="CatchAllData" ma:web="2074b3b8-ec1c-47fe-980f-58c5f25f6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rmen xmlns="4b0eb3ee-3961-4a79-8005-080d0b69debd">
      <UserInfo>
        <DisplayName/>
        <AccountId xsi:nil="true"/>
        <AccountType/>
      </UserInfo>
    </Carmen>
    <TaxCatchAll xmlns="2074b3b8-ec1c-47fe-980f-58c5f25f6fdf" xsi:nil="true"/>
    <lcf76f155ced4ddcb4097134ff3c332f xmlns="4b0eb3ee-3961-4a79-8005-080d0b69deb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23B60-A97D-4936-8BA9-54C5CF63D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eb3ee-3961-4a79-8005-080d0b69debd"/>
    <ds:schemaRef ds:uri="2074b3b8-ec1c-47fe-980f-58c5f25f6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E09AAE-4A6E-DE44-98BA-8C6205EBDD88}">
  <ds:schemaRefs>
    <ds:schemaRef ds:uri="http://schemas.microsoft.com/sharepoint/v3/contenttype/forms"/>
  </ds:schemaRefs>
</ds:datastoreItem>
</file>

<file path=customXml/itemProps3.xml><?xml version="1.0" encoding="utf-8"?>
<ds:datastoreItem xmlns:ds="http://schemas.openxmlformats.org/officeDocument/2006/customXml" ds:itemID="{FE0FBDDE-4044-914C-AFFE-2163E8FF3C65}">
  <ds:schemaRefs>
    <ds:schemaRef ds:uri="http://schemas.microsoft.com/office/2006/metadata/properties"/>
    <ds:schemaRef ds:uri="http://schemas.microsoft.com/office/infopath/2007/PartnerControls"/>
    <ds:schemaRef ds:uri="4b0eb3ee-3961-4a79-8005-080d0b69debd"/>
    <ds:schemaRef ds:uri="2074b3b8-ec1c-47fe-980f-58c5f25f6fdf"/>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5.xml><?xml version="1.0" encoding="utf-8"?>
<ds:datastoreItem xmlns:ds="http://schemas.openxmlformats.org/officeDocument/2006/customXml" ds:itemID="{5DEB4839-B6B3-4BB0-A20C-15BCE0FA58C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102</TotalTime>
  <Pages>10</Pages>
  <Words>3715</Words>
  <Characters>21178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24844</CharactersWithSpaces>
  <SharedDoc>false</SharedDoc>
  <HyperlinkBase/>
  <HLinks>
    <vt:vector size="66" baseType="variant">
      <vt:variant>
        <vt:i4>1048592</vt:i4>
      </vt:variant>
      <vt:variant>
        <vt:i4>30</vt:i4>
      </vt:variant>
      <vt:variant>
        <vt:i4>0</vt:i4>
      </vt:variant>
      <vt:variant>
        <vt:i4>5</vt:i4>
      </vt:variant>
      <vt:variant>
        <vt:lpwstr>https://www.who.int/data/gho/indicator-metadata-registry/imr-details/318</vt:lpwstr>
      </vt:variant>
      <vt:variant>
        <vt:lpwstr/>
      </vt:variant>
      <vt:variant>
        <vt:i4>6422652</vt:i4>
      </vt:variant>
      <vt:variant>
        <vt:i4>27</vt:i4>
      </vt:variant>
      <vt:variant>
        <vt:i4>0</vt:i4>
      </vt:variant>
      <vt:variant>
        <vt:i4>5</vt:i4>
      </vt:variant>
      <vt:variant>
        <vt:lpwstr>https://doi.org/10.1289/ehp.1205987</vt:lpwstr>
      </vt:variant>
      <vt:variant>
        <vt:lpwstr/>
      </vt:variant>
      <vt:variant>
        <vt:i4>1900572</vt:i4>
      </vt:variant>
      <vt:variant>
        <vt:i4>24</vt:i4>
      </vt:variant>
      <vt:variant>
        <vt:i4>0</vt:i4>
      </vt:variant>
      <vt:variant>
        <vt:i4>5</vt:i4>
      </vt:variant>
      <vt:variant>
        <vt:lpwstr>https://ehp.niehs.nih.gov/doi/abs/10.1289/ehp.1205987</vt:lpwstr>
      </vt:variant>
      <vt:variant>
        <vt:lpwstr/>
      </vt:variant>
      <vt:variant>
        <vt:i4>6946876</vt:i4>
      </vt:variant>
      <vt:variant>
        <vt:i4>21</vt:i4>
      </vt:variant>
      <vt:variant>
        <vt:i4>0</vt:i4>
      </vt:variant>
      <vt:variant>
        <vt:i4>5</vt:i4>
      </vt:variant>
      <vt:variant>
        <vt:lpwstr>https://doi.org/10.1038/s41467-021-26036-x</vt:lpwstr>
      </vt:variant>
      <vt:variant>
        <vt:lpwstr/>
      </vt:variant>
      <vt:variant>
        <vt:i4>4128885</vt:i4>
      </vt:variant>
      <vt:variant>
        <vt:i4>18</vt:i4>
      </vt:variant>
      <vt:variant>
        <vt:i4>0</vt:i4>
      </vt:variant>
      <vt:variant>
        <vt:i4>5</vt:i4>
      </vt:variant>
      <vt:variant>
        <vt:lpwstr>https://doi.org/10.1111/rssc.12428</vt:lpwstr>
      </vt:variant>
      <vt:variant>
        <vt:lpwstr/>
      </vt:variant>
      <vt:variant>
        <vt:i4>6291494</vt:i4>
      </vt:variant>
      <vt:variant>
        <vt:i4>15</vt:i4>
      </vt:variant>
      <vt:variant>
        <vt:i4>0</vt:i4>
      </vt:variant>
      <vt:variant>
        <vt:i4>5</vt:i4>
      </vt:variant>
      <vt:variant>
        <vt:lpwstr>https://www.who.int/tools/clean-household-energy-solutions-toolkit</vt:lpwstr>
      </vt:variant>
      <vt:variant>
        <vt:lpwstr/>
      </vt:variant>
      <vt:variant>
        <vt:i4>1572943</vt:i4>
      </vt:variant>
      <vt:variant>
        <vt:i4>12</vt:i4>
      </vt:variant>
      <vt:variant>
        <vt:i4>0</vt:i4>
      </vt:variant>
      <vt:variant>
        <vt:i4>5</vt:i4>
      </vt:variant>
      <vt:variant>
        <vt:lpwstr>https://www.who.int/publications/i/item/9789241548885</vt:lpwstr>
      </vt:variant>
      <vt:variant>
        <vt:lpwstr/>
      </vt:variant>
      <vt:variant>
        <vt:i4>1638479</vt:i4>
      </vt:variant>
      <vt:variant>
        <vt:i4>9</vt:i4>
      </vt:variant>
      <vt:variant>
        <vt:i4>0</vt:i4>
      </vt:variant>
      <vt:variant>
        <vt:i4>5</vt:i4>
      </vt:variant>
      <vt:variant>
        <vt:lpwstr>http://data.worldbank.org/data-catalog/sustainable-energy-for-all</vt:lpwstr>
      </vt:variant>
      <vt:variant>
        <vt:lpwstr/>
      </vt:variant>
      <vt:variant>
        <vt:i4>5636125</vt:i4>
      </vt:variant>
      <vt:variant>
        <vt:i4>6</vt:i4>
      </vt:variant>
      <vt:variant>
        <vt:i4>0</vt:i4>
      </vt:variant>
      <vt:variant>
        <vt:i4>5</vt:i4>
      </vt:variant>
      <vt:variant>
        <vt:lpwstr>http://trackingenergy4all.worldbank.org/</vt:lpwstr>
      </vt:variant>
      <vt:variant>
        <vt:lpwstr/>
      </vt:variant>
      <vt:variant>
        <vt:i4>5636125</vt:i4>
      </vt:variant>
      <vt:variant>
        <vt:i4>3</vt:i4>
      </vt:variant>
      <vt:variant>
        <vt:i4>0</vt:i4>
      </vt:variant>
      <vt:variant>
        <vt:i4>5</vt:i4>
      </vt:variant>
      <vt:variant>
        <vt:lpwstr>http://trackingenergy4all.worldbank.org/</vt:lpwstr>
      </vt:variant>
      <vt:variant>
        <vt:lpwstr/>
      </vt:variant>
      <vt:variant>
        <vt:i4>8192124</vt:i4>
      </vt:variant>
      <vt:variant>
        <vt:i4>0</vt:i4>
      </vt:variant>
      <vt:variant>
        <vt:i4>0</vt:i4>
      </vt:variant>
      <vt:variant>
        <vt:i4>5</vt:i4>
      </vt:variant>
      <vt:variant>
        <vt:lpwstr>https://www.who.int/data/gho/data/themes/air-pollution/household-air-pollution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ADAIR-ROHANI, Heather</dc:creator>
  <cp:keywords/>
  <dc:description/>
  <cp:lastModifiedBy>Harumi Shibata Salazar</cp:lastModifiedBy>
  <cp:revision>21</cp:revision>
  <cp:lastPrinted>2026-07-07T02:44:00Z</cp:lastPrinted>
  <dcterms:created xsi:type="dcterms:W3CDTF">2026-06-18T07:51:00Z</dcterms:created>
  <dcterms:modified xsi:type="dcterms:W3CDTF">2026-07-07T02:45:00Z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0x010100B1D2315DD55DB34180EF221D8BDCF702</vt:lpwstr>
  </property>
  <property fmtid="{D5CDD505-2E9C-101B-9397-08002B2CF9AE}" pid="3" name="MediaServiceImageTags">
    <vt:lpwstr/>
  </property>
</Properties>
</file>