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3C77FCD6" w14:textId="6B30458A" w:rsidR="00D379F1" w:rsidRPr="004A5024" w:rsidRDefault="00D379F1" w:rsidP="00F3497A">
      <w:pPr>
        <w:pStyle w:val="MGTHeader"/>
      </w:pPr>
      <w:r w:rsidRPr="004A5024">
        <w:t xml:space="preserve">Goal 8: Promote sustained, inclusive and sustainable economic growth, full and productive employment and decent work for </w:t>
      </w:r>
      <w:proofErr w:type="gramStart"/>
      <w:r w:rsidRPr="004A5024">
        <w:t>all</w:t>
      </w:r>
      <w:proofErr w:type="gramEnd"/>
    </w:p>
    <w:p w14:paraId="084142D2" w14:textId="5E033793" w:rsidR="00D24330" w:rsidRPr="00A96255" w:rsidRDefault="00D24330" w:rsidP="00D24330">
      <w:pPr>
        <w:pStyle w:val="MIndHeader"/>
      </w:pPr>
      <w:r w:rsidRPr="00A96255">
        <w:t xml:space="preserve">0.b. Target </w:t>
      </w:r>
      <w:r>
        <w:rPr>
          <w:color w:val="B4B4B4"/>
          <w:sz w:val="20"/>
        </w:rPr>
        <w:t>(SDG_TARGET)</w:t>
      </w:r>
    </w:p>
    <w:p w14:paraId="4134B5C2" w14:textId="3A0FF9DF" w:rsidR="00D379F1" w:rsidRPr="000F25FA" w:rsidRDefault="00D379F1" w:rsidP="00D24330">
      <w:pPr>
        <w:pStyle w:val="MIndHeader"/>
        <w:rPr>
          <w:color w:val="444444"/>
          <w:sz w:val="21"/>
          <w:szCs w:val="21"/>
        </w:rPr>
      </w:pPr>
      <w:r w:rsidRPr="000F25FA">
        <w:rPr>
          <w:color w:val="444444"/>
          <w:sz w:val="21"/>
          <w:szCs w:val="21"/>
        </w:rPr>
        <w:t>Target 8.7: Take immediate and effective measures to eradicate forced labour, end modern slavery and human trafficking and secure the prohibition and elimination of the worst forms of child labour, including recruitment and use of child soldiers, and by 2025 end child labour in all its forms</w:t>
      </w:r>
    </w:p>
    <w:p w14:paraId="3E67E7E0" w14:textId="7716CFF4" w:rsidR="00D24330" w:rsidRPr="00A96255" w:rsidRDefault="00D24330" w:rsidP="00D24330">
      <w:pPr>
        <w:pStyle w:val="MIndHeader"/>
      </w:pPr>
      <w:r w:rsidRPr="00A96255">
        <w:t xml:space="preserve">0.c. Indicator </w:t>
      </w:r>
      <w:r>
        <w:rPr>
          <w:color w:val="B4B4B4"/>
          <w:sz w:val="20"/>
        </w:rPr>
        <w:t>(SDG_INDICATOR)</w:t>
      </w:r>
    </w:p>
    <w:p w14:paraId="47609FA2" w14:textId="03427D0D" w:rsidR="00D379F1" w:rsidRPr="00A0125E" w:rsidRDefault="00D379F1" w:rsidP="00F3497A">
      <w:pPr>
        <w:pStyle w:val="MGTHeader"/>
      </w:pPr>
      <w:r w:rsidRPr="00A0125E">
        <w:t>Indicator 8.7.1: Proportion and number of children aged 5</w:t>
      </w:r>
      <w:r w:rsidR="35CD0CEC" w:rsidRPr="3CCE3E45">
        <w:rPr>
          <w:rFonts w:eastAsia="Calibri" w:cs="Calibri"/>
        </w:rPr>
        <w:t>–</w:t>
      </w:r>
      <w:r w:rsidRPr="00A0125E">
        <w:t>17 years engaged in child labour, by sex and age</w:t>
      </w:r>
    </w:p>
    <w:p w14:paraId="37E5E4F6" w14:textId="6A973F34" w:rsidR="00D24330" w:rsidRPr="007B6CDE" w:rsidRDefault="00D24330" w:rsidP="00D24330">
      <w:pPr>
        <w:pStyle w:val="MIndHeader"/>
        <w:rPr>
          <w:lang w:val="en-US"/>
        </w:rPr>
      </w:pPr>
      <w:r w:rsidRPr="007B6CDE">
        <w:rPr>
          <w:lang w:val="en-US"/>
        </w:rPr>
        <w:t xml:space="preserve">0.d. Series </w:t>
      </w:r>
      <w:r>
        <w:rPr>
          <w:color w:val="B4B4B4"/>
          <w:sz w:val="20"/>
        </w:rPr>
        <w:t>(SDG_SERIES_DESCR)</w:t>
      </w:r>
    </w:p>
    <w:p w14:paraId="3C4C71E3" w14:textId="77777777" w:rsidR="00497352" w:rsidRPr="00497352" w:rsidRDefault="00497352" w:rsidP="00497352">
      <w:pPr>
        <w:pStyle w:val="MGTHeader"/>
        <w:rPr>
          <w:lang w:val="en-US"/>
        </w:rPr>
      </w:pPr>
      <w:r w:rsidRPr="00497352">
        <w:rPr>
          <w:lang w:val="en-US"/>
        </w:rPr>
        <w:t>SL_TLF_CHLDEA - Proportion of children engaged in economic activity [8.7.1]</w:t>
      </w:r>
    </w:p>
    <w:p w14:paraId="771888BA" w14:textId="00DD55F8" w:rsidR="00D24330" w:rsidRPr="007B6CDE" w:rsidRDefault="00497352" w:rsidP="00620902">
      <w:pPr>
        <w:pStyle w:val="MGTHeader"/>
        <w:rPr>
          <w:lang w:val="en-US"/>
        </w:rPr>
      </w:pPr>
      <w:r w:rsidRPr="00497352">
        <w:rPr>
          <w:lang w:val="en-US"/>
        </w:rPr>
        <w:t>SL_TLF_CHLDEC - Proportion of children engaged in economic activity and household chores [8.7.1]</w:t>
      </w:r>
    </w:p>
    <w:p w14:paraId="157DACE7" w14:textId="77777777" w:rsidR="00D24330" w:rsidRPr="007B6CDE" w:rsidRDefault="00D24330" w:rsidP="00D24330">
      <w:pPr>
        <w:pStyle w:val="MIndHeader"/>
        <w:rPr>
          <w:lang w:val="en-US"/>
        </w:rPr>
      </w:pPr>
      <w:r w:rsidRPr="007B6CDE">
        <w:rPr>
          <w:lang w:val="en-US"/>
        </w:rPr>
        <w:t xml:space="preserve">0.e. Metadata update </w:t>
      </w:r>
      <w:r>
        <w:rPr>
          <w:color w:val="B4B4B4"/>
          <w:sz w:val="20"/>
        </w:rPr>
        <w:t>(META_LAST_UPDATE)</w:t>
      </w:r>
    </w:p>
    <w:sdt>
      <w:sdtPr>
        <w:rPr>
          <w:lang w:val="en-US"/>
        </w:rPr>
        <w:id w:val="-1142030248"/>
        <w:placeholder>
          <w:docPart w:val="DefaultPlaceholder_-1854013437"/>
        </w:placeholder>
        <w:date w:fullDate="2024-07-29T00:00:00Z">
          <w:dateFormat w:val="yyyy-MM-dd"/>
          <w:lid w:val="en-US"/>
          <w:storeMappedDataAs w:val="dateTime"/>
          <w:calendar w:val="gregorian"/>
        </w:date>
      </w:sdtPr>
      <w:sdtContent>
        <w:p w14:paraId="03424B60" w14:textId="4637BBF2" w:rsidR="00D24330" w:rsidRPr="007B6CDE" w:rsidRDefault="00BF6094" w:rsidP="00D24330">
          <w:pPr>
            <w:pStyle w:val="MGTHeader"/>
            <w:rPr>
              <w:lang w:val="en-US"/>
            </w:rPr>
          </w:pPr>
          <w:r>
            <w:rPr>
              <w:lang w:val="en-US"/>
            </w:rPr>
            <w:t>2024-07-29</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382018B5" w14:textId="6AF76A86" w:rsidR="00113729" w:rsidRDefault="00A31D5A" w:rsidP="00D24330">
      <w:pPr>
        <w:pStyle w:val="MIndHeader"/>
        <w:rPr>
          <w:color w:val="333333"/>
          <w:sz w:val="21"/>
          <w:szCs w:val="21"/>
        </w:rPr>
      </w:pPr>
      <w:r>
        <w:rPr>
          <w:color w:val="333333"/>
          <w:sz w:val="21"/>
          <w:szCs w:val="21"/>
        </w:rPr>
        <w:t>M</w:t>
      </w:r>
      <w:r w:rsidRPr="00A31D5A">
        <w:rPr>
          <w:color w:val="333333"/>
          <w:sz w:val="21"/>
          <w:szCs w:val="21"/>
        </w:rPr>
        <w:t>any other SDG indicators</w:t>
      </w:r>
      <w:r>
        <w:rPr>
          <w:color w:val="333333"/>
          <w:sz w:val="21"/>
          <w:szCs w:val="21"/>
        </w:rPr>
        <w:t xml:space="preserve"> have </w:t>
      </w:r>
      <w:r w:rsidRPr="00A31D5A">
        <w:rPr>
          <w:color w:val="333333"/>
          <w:sz w:val="21"/>
          <w:szCs w:val="21"/>
        </w:rPr>
        <w:t xml:space="preserve">links and </w:t>
      </w:r>
      <w:r w:rsidR="004E16C4">
        <w:rPr>
          <w:color w:val="333333"/>
          <w:sz w:val="21"/>
          <w:szCs w:val="21"/>
        </w:rPr>
        <w:t xml:space="preserve">are </w:t>
      </w:r>
      <w:r w:rsidRPr="00A31D5A">
        <w:rPr>
          <w:color w:val="333333"/>
          <w:sz w:val="21"/>
          <w:szCs w:val="21"/>
        </w:rPr>
        <w:t>relevan</w:t>
      </w:r>
      <w:r w:rsidR="004E16C4">
        <w:rPr>
          <w:color w:val="333333"/>
          <w:sz w:val="21"/>
          <w:szCs w:val="21"/>
        </w:rPr>
        <w:t>t</w:t>
      </w:r>
      <w:r w:rsidRPr="00A31D5A">
        <w:rPr>
          <w:color w:val="333333"/>
          <w:sz w:val="21"/>
          <w:szCs w:val="21"/>
        </w:rPr>
        <w:t xml:space="preserve"> to child labour</w:t>
      </w:r>
      <w:r w:rsidR="004E16C4">
        <w:rPr>
          <w:color w:val="333333"/>
          <w:sz w:val="21"/>
          <w:szCs w:val="21"/>
        </w:rPr>
        <w:t>.</w:t>
      </w:r>
    </w:p>
    <w:p w14:paraId="077BC49E" w14:textId="4260B078"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66BD83C1" w14:textId="1A44D2B6" w:rsidR="00D379F1" w:rsidRPr="00AC4750" w:rsidRDefault="00D379F1" w:rsidP="005E716E">
      <w:pPr>
        <w:pStyle w:val="MGTHeader"/>
      </w:pPr>
      <w:r w:rsidRPr="00AC4750">
        <w:rPr>
          <w:rStyle w:val="normaltextrun"/>
        </w:rPr>
        <w:t>United Nations Children's Fund (UNICEF)</w:t>
      </w:r>
    </w:p>
    <w:p w14:paraId="0F746952" w14:textId="5D54501B" w:rsidR="00D379F1" w:rsidRPr="00AC4750" w:rsidRDefault="00D379F1" w:rsidP="005E716E">
      <w:pPr>
        <w:pStyle w:val="MGTHeader"/>
      </w:pPr>
      <w:r w:rsidRPr="00AC4750">
        <w:rPr>
          <w:rStyle w:val="normaltextrun"/>
        </w:rPr>
        <w:t>International Labour Organization (ILO)</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7D967381" w14:textId="293BEAF6" w:rsidR="00D379F1" w:rsidRDefault="00D379F1" w:rsidP="00686531">
      <w:pPr>
        <w:pStyle w:val="paragraph"/>
        <w:shd w:val="clear" w:color="auto" w:fill="FFFFFF"/>
        <w:spacing w:before="0" w:beforeAutospacing="0" w:after="0" w:afterAutospacing="0"/>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en-GB"/>
        </w:rPr>
        <w:t>United Nations Children's Fund (UNICEF)</w:t>
      </w:r>
    </w:p>
    <w:p w14:paraId="0FDA128E" w14:textId="7AB19F6D" w:rsidR="00D379F1" w:rsidRDefault="00D379F1" w:rsidP="00686531">
      <w:pPr>
        <w:pStyle w:val="paragraph"/>
        <w:shd w:val="clear" w:color="auto" w:fill="FFFFFF"/>
        <w:spacing w:before="0" w:beforeAutospacing="0" w:after="0" w:afterAutospacing="0"/>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en-GB"/>
        </w:rPr>
        <w:t>International Labour Organization (ILO)</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686E77E4" w14:textId="6A07CE3F" w:rsidR="00D379F1" w:rsidRDefault="00D379F1" w:rsidP="00D379F1">
      <w:pPr>
        <w:pStyle w:val="paragraph"/>
        <w:shd w:val="clear" w:color="auto" w:fill="FFFFFF"/>
        <w:spacing w:before="0" w:beforeAutospacing="0" w:after="0" w:afterAutospacing="0"/>
        <w:textAlignment w:val="baseline"/>
        <w:rPr>
          <w:rFonts w:ascii="Segoe UI" w:hAnsi="Segoe UI" w:cs="Segoe UI"/>
          <w:b/>
          <w:bCs/>
          <w:color w:val="4A4A4A"/>
          <w:sz w:val="18"/>
          <w:szCs w:val="18"/>
        </w:rPr>
      </w:pPr>
      <w:r>
        <w:rPr>
          <w:rStyle w:val="normaltextrun"/>
          <w:rFonts w:ascii="Calibri" w:hAnsi="Calibri" w:cs="Calibri"/>
          <w:b/>
          <w:bCs/>
          <w:color w:val="4A4A4A"/>
          <w:sz w:val="21"/>
          <w:szCs w:val="21"/>
          <w:shd w:val="clear" w:color="auto" w:fill="FFFFFF"/>
          <w:lang w:val="en-GB"/>
        </w:rPr>
        <w:t>Definition:</w:t>
      </w:r>
    </w:p>
    <w:p w14:paraId="4CA58691" w14:textId="77777777" w:rsidR="00D379F1" w:rsidRDefault="00D379F1" w:rsidP="00A0125E">
      <w:pPr>
        <w:pStyle w:val="paragraph"/>
        <w:shd w:val="clear" w:color="auto" w:fill="FFFFFF" w:themeFill="background1"/>
        <w:spacing w:before="0" w:beforeAutospacing="0" w:after="0" w:afterAutospacing="0"/>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en-GB"/>
        </w:rPr>
        <w:t>The number of children engaged in child labour corresponds to the number of children reported to be in child labour during the reference period (usually the week prior to the survey). The proportion of children in child labour is calculated as the number of children in child labour divided by the total number of children in the population.  For the purposes of this indicator, children include all persons aged 5 to 17. </w:t>
      </w:r>
      <w:r>
        <w:rPr>
          <w:rStyle w:val="eop"/>
          <w:rFonts w:ascii="Calibri" w:hAnsi="Calibri" w:cs="Calibri"/>
          <w:color w:val="4A4A4A"/>
          <w:sz w:val="21"/>
          <w:szCs w:val="21"/>
        </w:rPr>
        <w:t> </w:t>
      </w:r>
    </w:p>
    <w:p w14:paraId="0528491D" w14:textId="77777777" w:rsidR="00D379F1" w:rsidRDefault="00D379F1" w:rsidP="00D379F1">
      <w:pPr>
        <w:pStyle w:val="paragraph"/>
        <w:shd w:val="clear" w:color="auto" w:fill="FFFFFF"/>
        <w:spacing w:before="0" w:beforeAutospacing="0" w:after="0" w:afterAutospacing="0"/>
        <w:textAlignment w:val="baseline"/>
        <w:rPr>
          <w:rFonts w:ascii="Segoe UI" w:hAnsi="Segoe UI" w:cs="Segoe UI"/>
          <w:color w:val="4A4A4A"/>
          <w:sz w:val="18"/>
          <w:szCs w:val="18"/>
        </w:rPr>
      </w:pPr>
      <w:r>
        <w:rPr>
          <w:rStyle w:val="eop"/>
          <w:rFonts w:ascii="Calibri" w:hAnsi="Calibri" w:cs="Calibri"/>
          <w:color w:val="4A4A4A"/>
          <w:sz w:val="21"/>
          <w:szCs w:val="21"/>
        </w:rPr>
        <w:t> </w:t>
      </w:r>
    </w:p>
    <w:p w14:paraId="3F9FE2DE" w14:textId="7A7C42D0" w:rsidR="00D379F1" w:rsidRDefault="00D379F1" w:rsidP="00D379F1">
      <w:pPr>
        <w:pStyle w:val="paragraph"/>
        <w:shd w:val="clear" w:color="auto" w:fill="FFFFFF"/>
        <w:spacing w:before="0" w:beforeAutospacing="0" w:after="0" w:afterAutospacing="0"/>
        <w:textAlignment w:val="baseline"/>
        <w:rPr>
          <w:rFonts w:ascii="Segoe UI" w:hAnsi="Segoe UI" w:cs="Segoe UI"/>
          <w:b/>
          <w:bCs/>
          <w:color w:val="4A4A4A"/>
          <w:sz w:val="18"/>
          <w:szCs w:val="18"/>
        </w:rPr>
      </w:pPr>
      <w:r>
        <w:rPr>
          <w:rStyle w:val="normaltextrun"/>
          <w:rFonts w:ascii="Calibri" w:hAnsi="Calibri" w:cs="Calibri"/>
          <w:b/>
          <w:bCs/>
          <w:color w:val="4A4A4A"/>
          <w:sz w:val="21"/>
          <w:szCs w:val="21"/>
          <w:shd w:val="clear" w:color="auto" w:fill="FFFFFF"/>
          <w:lang w:val="en-GB"/>
        </w:rPr>
        <w:t>Concepts:</w:t>
      </w:r>
    </w:p>
    <w:p w14:paraId="6CC8A6D5" w14:textId="2B91A807" w:rsidR="00D379F1" w:rsidRDefault="00D379F1" w:rsidP="00A0125E">
      <w:pPr>
        <w:pStyle w:val="paragraph"/>
        <w:shd w:val="clear" w:color="auto" w:fill="FFFFFF" w:themeFill="background1"/>
        <w:spacing w:before="0" w:beforeAutospacing="0" w:after="0" w:afterAutospacing="0"/>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it-IT"/>
        </w:rPr>
        <w:lastRenderedPageBreak/>
        <w:t>Three principal international legal instruments – ILO Convention No. 138 (Minimum Age) (C138), United Nations Convention on the Rights of the Child (CRC), ILO Convention No. 182 (Worst Forms) (C182) together set the legal boundaries for child labour, and provide the legal basis for national and international actions against it.  In accordance with these instruments, child labour is work that children should </w:t>
      </w:r>
      <w:r>
        <w:rPr>
          <w:rStyle w:val="normaltextrun"/>
          <w:rFonts w:ascii="Calibri" w:hAnsi="Calibri" w:cs="Calibri"/>
          <w:i/>
          <w:iCs/>
          <w:color w:val="4A4A4A"/>
          <w:sz w:val="21"/>
          <w:szCs w:val="21"/>
          <w:shd w:val="clear" w:color="auto" w:fill="FFFFFF"/>
          <w:lang w:val="it-IT"/>
        </w:rPr>
        <w:t>not </w:t>
      </w:r>
      <w:r>
        <w:rPr>
          <w:rStyle w:val="normaltextrun"/>
          <w:rFonts w:ascii="Calibri" w:hAnsi="Calibri" w:cs="Calibri"/>
          <w:color w:val="4A4A4A"/>
          <w:sz w:val="21"/>
          <w:szCs w:val="21"/>
          <w:shd w:val="clear" w:color="auto" w:fill="FFFFFF"/>
          <w:lang w:val="it-IT"/>
        </w:rPr>
        <w:t>be doing because (a) they are too young or (b) is likely to harm their health, safety or morals, due to its nature or the conditions in which it is carried out.</w:t>
      </w:r>
    </w:p>
    <w:p w14:paraId="68B53AA1"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eop"/>
          <w:rFonts w:ascii="Calibri" w:hAnsi="Calibri" w:cs="Calibri"/>
          <w:color w:val="4A4A4A"/>
          <w:sz w:val="21"/>
          <w:szCs w:val="21"/>
        </w:rPr>
        <w:t> </w:t>
      </w:r>
    </w:p>
    <w:p w14:paraId="0B971912"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rPr>
        <w:t xml:space="preserve">The resolutions adopted by the International Conference of Labour Statisticians (ICLS), the world’s acknowledged standard-setting body </w:t>
      </w:r>
      <w:proofErr w:type="gramStart"/>
      <w:r>
        <w:rPr>
          <w:rStyle w:val="normaltextrun"/>
          <w:rFonts w:ascii="Calibri" w:hAnsi="Calibri" w:cs="Calibri"/>
          <w:color w:val="4A4A4A"/>
          <w:sz w:val="21"/>
          <w:szCs w:val="21"/>
          <w:shd w:val="clear" w:color="auto" w:fill="FFFFFF"/>
        </w:rPr>
        <w:t>in the area of</w:t>
      </w:r>
      <w:proofErr w:type="gramEnd"/>
      <w:r>
        <w:rPr>
          <w:rStyle w:val="normaltextrun"/>
          <w:rFonts w:ascii="Calibri" w:hAnsi="Calibri" w:cs="Calibri"/>
          <w:color w:val="4A4A4A"/>
          <w:sz w:val="21"/>
          <w:szCs w:val="21"/>
          <w:shd w:val="clear" w:color="auto" w:fill="FFFFFF"/>
        </w:rPr>
        <w:t>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statistics, provide the basis for translating the legal standards governing the concept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into statistical terms for the purpose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measurement. </w:t>
      </w:r>
      <w:r>
        <w:rPr>
          <w:rStyle w:val="eop"/>
          <w:rFonts w:ascii="Calibri" w:hAnsi="Calibri" w:cs="Calibri"/>
          <w:color w:val="4A4A4A"/>
          <w:sz w:val="21"/>
          <w:szCs w:val="21"/>
        </w:rPr>
        <w:t> </w:t>
      </w:r>
    </w:p>
    <w:p w14:paraId="3EA96E34"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eop"/>
          <w:rFonts w:ascii="Calibri" w:hAnsi="Calibri" w:cs="Calibri"/>
          <w:color w:val="4A4A4A"/>
          <w:sz w:val="21"/>
          <w:szCs w:val="21"/>
        </w:rPr>
        <w:t> </w:t>
      </w:r>
    </w:p>
    <w:p w14:paraId="04F5903E" w14:textId="62DB2A26"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rPr>
        <w:t>In accordance with the ICLS resolutions</w:t>
      </w:r>
      <w:r w:rsidR="00C4397B">
        <w:rPr>
          <w:rStyle w:val="FootnoteReference"/>
          <w:rFonts w:ascii="Calibri" w:hAnsi="Calibri" w:cs="Calibri"/>
          <w:color w:val="4A4A4A"/>
          <w:sz w:val="21"/>
          <w:szCs w:val="21"/>
          <w:shd w:val="clear" w:color="auto" w:fill="FFFFFF"/>
        </w:rPr>
        <w:footnoteReference w:id="2"/>
      </w:r>
      <w:r>
        <w:rPr>
          <w:rStyle w:val="normaltextrun"/>
          <w:rFonts w:ascii="Calibri" w:hAnsi="Calibri" w:cs="Calibri"/>
          <w:color w:val="4A4A4A"/>
          <w:sz w:val="21"/>
          <w:szCs w:val="21"/>
          <w:shd w:val="clear" w:color="auto" w:fill="FFFFFF"/>
        </w:rPr>
        <w:t>,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can be measured </w:t>
      </w:r>
      <w:proofErr w:type="gramStart"/>
      <w:r>
        <w:rPr>
          <w:rStyle w:val="normaltextrun"/>
          <w:rFonts w:ascii="Calibri" w:hAnsi="Calibri" w:cs="Calibri"/>
          <w:color w:val="4A4A4A"/>
          <w:sz w:val="21"/>
          <w:szCs w:val="21"/>
          <w:shd w:val="clear" w:color="auto" w:fill="FFFFFF"/>
        </w:rPr>
        <w:t>on the basis of</w:t>
      </w:r>
      <w:proofErr w:type="gramEnd"/>
      <w:r>
        <w:rPr>
          <w:rStyle w:val="normaltextrun"/>
          <w:rFonts w:ascii="Calibri" w:hAnsi="Calibri" w:cs="Calibri"/>
          <w:color w:val="4A4A4A"/>
          <w:sz w:val="21"/>
          <w:szCs w:val="21"/>
          <w:shd w:val="clear" w:color="auto" w:fill="FFFFFF"/>
        </w:rPr>
        <w:t xml:space="preserve"> the production boundary set by the United Nations System of National Accounts (</w:t>
      </w:r>
      <w:r w:rsidR="006C3D7B">
        <w:rPr>
          <w:rStyle w:val="normaltextrun"/>
          <w:rFonts w:ascii="Calibri" w:hAnsi="Calibri" w:cs="Calibri"/>
          <w:color w:val="4A4A4A"/>
          <w:sz w:val="21"/>
          <w:szCs w:val="21"/>
          <w:shd w:val="clear" w:color="auto" w:fill="FFFFFF"/>
        </w:rPr>
        <w:t xml:space="preserve">UN </w:t>
      </w:r>
      <w:r>
        <w:rPr>
          <w:rStyle w:val="normaltextrun"/>
          <w:rFonts w:ascii="Calibri" w:hAnsi="Calibri" w:cs="Calibri"/>
          <w:color w:val="4A4A4A"/>
          <w:sz w:val="21"/>
          <w:szCs w:val="21"/>
          <w:shd w:val="clear" w:color="auto" w:fill="FFFFFF"/>
        </w:rPr>
        <w:t>SNA) or on the basis of the general production boundary. The former limits the frame of reference to economic activity, while the latter extends it to include both economic activity </w:t>
      </w:r>
      <w:r>
        <w:rPr>
          <w:rStyle w:val="normaltextrun"/>
          <w:rFonts w:ascii="Calibri" w:hAnsi="Calibri" w:cs="Calibri"/>
          <w:i/>
          <w:iCs/>
          <w:color w:val="4A4A4A"/>
          <w:sz w:val="21"/>
          <w:szCs w:val="21"/>
          <w:shd w:val="clear" w:color="auto" w:fill="FFFFFF"/>
        </w:rPr>
        <w:t>and</w:t>
      </w:r>
      <w:r>
        <w:rPr>
          <w:rStyle w:val="normaltextrun"/>
          <w:rFonts w:ascii="Calibri" w:hAnsi="Calibri" w:cs="Calibri"/>
          <w:color w:val="4A4A4A"/>
          <w:sz w:val="21"/>
          <w:szCs w:val="21"/>
          <w:shd w:val="clear" w:color="auto" w:fill="FFFFFF"/>
        </w:rPr>
        <w:t> unpaid household services, that is, the production of domestic and personal services by a household member for consumption within their own household, commonly called “household chores”. </w:t>
      </w:r>
      <w:r>
        <w:rPr>
          <w:rStyle w:val="eop"/>
          <w:rFonts w:ascii="Calibri" w:hAnsi="Calibri" w:cs="Calibri"/>
          <w:color w:val="4A4A4A"/>
          <w:sz w:val="21"/>
          <w:szCs w:val="21"/>
        </w:rPr>
        <w:t> </w:t>
      </w:r>
    </w:p>
    <w:p w14:paraId="5BAB5BB6" w14:textId="77777777" w:rsidR="00D379F1" w:rsidRDefault="00D379F1" w:rsidP="004A5024">
      <w:pPr>
        <w:pStyle w:val="paragraph"/>
        <w:shd w:val="clear" w:color="auto" w:fill="FFFFFF"/>
        <w:spacing w:before="0" w:beforeAutospacing="0" w:after="0" w:afterAutospacing="0" w:line="276" w:lineRule="auto"/>
        <w:ind w:left="720"/>
        <w:textAlignment w:val="baseline"/>
        <w:rPr>
          <w:rFonts w:ascii="Segoe UI" w:hAnsi="Segoe UI" w:cs="Segoe UI"/>
          <w:color w:val="4A4A4A"/>
          <w:sz w:val="18"/>
          <w:szCs w:val="18"/>
        </w:rPr>
      </w:pPr>
      <w:r>
        <w:rPr>
          <w:rStyle w:val="eop"/>
          <w:rFonts w:ascii="Calibri" w:hAnsi="Calibri" w:cs="Calibri"/>
          <w:color w:val="4A4A4A"/>
          <w:sz w:val="21"/>
          <w:szCs w:val="21"/>
        </w:rPr>
        <w:t> </w:t>
      </w:r>
    </w:p>
    <w:p w14:paraId="57EA3001" w14:textId="412C2650"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rPr>
        <w:t>Following from this, two indicators are used for measuring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xml:space="preserve"> for the purpose of SDG reporting, the first based on the production boundary set by the </w:t>
      </w:r>
      <w:r w:rsidR="006C3D7B">
        <w:rPr>
          <w:rStyle w:val="normaltextrun"/>
          <w:rFonts w:ascii="Calibri" w:hAnsi="Calibri" w:cs="Calibri"/>
          <w:color w:val="4A4A4A"/>
          <w:sz w:val="21"/>
          <w:szCs w:val="21"/>
          <w:shd w:val="clear" w:color="auto" w:fill="FFFFFF"/>
        </w:rPr>
        <w:t xml:space="preserve">UN </w:t>
      </w:r>
      <w:r>
        <w:rPr>
          <w:rStyle w:val="normaltextrun"/>
          <w:rFonts w:ascii="Calibri" w:hAnsi="Calibri" w:cs="Calibri"/>
          <w:color w:val="4A4A4A"/>
          <w:sz w:val="21"/>
          <w:szCs w:val="21"/>
          <w:shd w:val="clear" w:color="auto" w:fill="FFFFFF"/>
        </w:rPr>
        <w:t>SNA and the second based on the general production boundary.</w:t>
      </w:r>
    </w:p>
    <w:p w14:paraId="4E407CDD" w14:textId="77777777" w:rsidR="00D379F1" w:rsidRDefault="00D379F1" w:rsidP="00D379F1">
      <w:pPr>
        <w:pStyle w:val="paragraph"/>
        <w:shd w:val="clear" w:color="auto" w:fill="FFFFFF"/>
        <w:spacing w:before="0" w:beforeAutospacing="0" w:after="0" w:afterAutospacing="0"/>
        <w:textAlignment w:val="baseline"/>
        <w:rPr>
          <w:rFonts w:ascii="Segoe UI" w:hAnsi="Segoe UI" w:cs="Segoe UI"/>
          <w:color w:val="4A4A4A"/>
          <w:sz w:val="18"/>
          <w:szCs w:val="18"/>
        </w:rPr>
      </w:pPr>
      <w:r>
        <w:rPr>
          <w:rStyle w:val="eop"/>
          <w:rFonts w:ascii="Calibri" w:hAnsi="Calibri" w:cs="Calibri"/>
          <w:color w:val="4A4A4A"/>
          <w:sz w:val="21"/>
          <w:szCs w:val="21"/>
        </w:rPr>
        <w:t> </w:t>
      </w:r>
    </w:p>
    <w:p w14:paraId="1B0316B5" w14:textId="40F3209E"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rPr>
        <w:t>Indicator 1: </w:t>
      </w:r>
      <w:r>
        <w:rPr>
          <w:rStyle w:val="normaltextrun"/>
          <w:rFonts w:ascii="Calibri" w:hAnsi="Calibri" w:cs="Calibri"/>
          <w:color w:val="4A4A4A"/>
          <w:sz w:val="21"/>
          <w:szCs w:val="21"/>
          <w:shd w:val="clear" w:color="auto" w:fill="FFFFFF"/>
          <w:lang w:val="en-GB"/>
        </w:rPr>
        <w:t>Proportion and number of children aged 5-17 years engaged in economic activities at or above age-specific hourly thresholds (</w:t>
      </w:r>
      <w:r>
        <w:rPr>
          <w:rStyle w:val="normaltextrun"/>
          <w:rFonts w:ascii="Calibri" w:hAnsi="Calibri" w:cs="Calibri"/>
          <w:b/>
          <w:bCs/>
          <w:color w:val="4A4A4A"/>
          <w:sz w:val="21"/>
          <w:szCs w:val="21"/>
          <w:shd w:val="clear" w:color="auto" w:fill="FFFFFF"/>
          <w:lang w:val="en-GB"/>
        </w:rPr>
        <w:t>SNA production boundary basis</w:t>
      </w:r>
      <w:r>
        <w:rPr>
          <w:rStyle w:val="normaltextrun"/>
          <w:rFonts w:ascii="Calibri" w:hAnsi="Calibri" w:cs="Calibri"/>
          <w:color w:val="4A4A4A"/>
          <w:sz w:val="21"/>
          <w:szCs w:val="21"/>
          <w:shd w:val="clear" w:color="auto" w:fill="FFFFFF"/>
          <w:lang w:val="en-GB"/>
        </w:rPr>
        <w:t>)</w:t>
      </w:r>
    </w:p>
    <w:p w14:paraId="608AF139" w14:textId="4A3714BB"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i/>
          <w:iCs/>
          <w:color w:val="4A4A4A"/>
          <w:sz w:val="21"/>
          <w:szCs w:val="21"/>
          <w:shd w:val="clear" w:color="auto" w:fill="FFFFFF"/>
        </w:rPr>
        <w:t>Child </w:t>
      </w:r>
      <w:proofErr w:type="spellStart"/>
      <w:r>
        <w:rPr>
          <w:rStyle w:val="normaltextrun"/>
          <w:rFonts w:ascii="Calibri" w:hAnsi="Calibri" w:cs="Calibri"/>
          <w:i/>
          <w:iCs/>
          <w:color w:val="4A4A4A"/>
          <w:sz w:val="21"/>
          <w:szCs w:val="21"/>
          <w:shd w:val="clear" w:color="auto" w:fill="FFFFFF"/>
        </w:rPr>
        <w:t>labour</w:t>
      </w:r>
      <w:proofErr w:type="spellEnd"/>
      <w:r>
        <w:rPr>
          <w:rStyle w:val="normaltextrun"/>
          <w:rFonts w:ascii="Calibri" w:hAnsi="Calibri" w:cs="Calibri"/>
          <w:i/>
          <w:iCs/>
          <w:color w:val="4A4A4A"/>
          <w:sz w:val="21"/>
          <w:szCs w:val="21"/>
          <w:shd w:val="clear" w:color="auto" w:fill="FFFFFF"/>
        </w:rPr>
        <w:t> for the 5 to 11 age range</w:t>
      </w:r>
      <w:r>
        <w:rPr>
          <w:rStyle w:val="normaltextrun"/>
          <w:rFonts w:ascii="Calibri" w:hAnsi="Calibri" w:cs="Calibri"/>
          <w:color w:val="4A4A4A"/>
          <w:sz w:val="21"/>
          <w:szCs w:val="21"/>
          <w:shd w:val="clear" w:color="auto" w:fill="FFFFFF"/>
        </w:rPr>
        <w:t xml:space="preserve">: children working </w:t>
      </w:r>
      <w:r w:rsidR="008567B3">
        <w:rPr>
          <w:rStyle w:val="normaltextrun"/>
          <w:rFonts w:ascii="Calibri" w:hAnsi="Calibri" w:cs="Calibri"/>
          <w:color w:val="4A4A4A"/>
          <w:sz w:val="21"/>
          <w:szCs w:val="21"/>
          <w:shd w:val="clear" w:color="auto" w:fill="FFFFFF"/>
        </w:rPr>
        <w:t xml:space="preserve">for </w:t>
      </w:r>
      <w:r>
        <w:rPr>
          <w:rStyle w:val="normaltextrun"/>
          <w:rFonts w:ascii="Calibri" w:hAnsi="Calibri" w:cs="Calibri"/>
          <w:color w:val="4A4A4A"/>
          <w:sz w:val="21"/>
          <w:szCs w:val="21"/>
          <w:shd w:val="clear" w:color="auto" w:fill="FFFFFF"/>
        </w:rPr>
        <w:t>1 hour</w:t>
      </w:r>
      <w:r w:rsidR="008567B3">
        <w:rPr>
          <w:rStyle w:val="normaltextrun"/>
          <w:rFonts w:ascii="Calibri" w:hAnsi="Calibri" w:cs="Calibri"/>
          <w:color w:val="4A4A4A"/>
          <w:sz w:val="21"/>
          <w:szCs w:val="21"/>
          <w:shd w:val="clear" w:color="auto" w:fill="FFFFFF"/>
        </w:rPr>
        <w:t xml:space="preserve"> or more</w:t>
      </w:r>
      <w:r>
        <w:rPr>
          <w:rStyle w:val="normaltextrun"/>
          <w:rFonts w:ascii="Calibri" w:hAnsi="Calibri" w:cs="Calibri"/>
          <w:color w:val="4A4A4A"/>
          <w:sz w:val="21"/>
          <w:szCs w:val="21"/>
          <w:shd w:val="clear" w:color="auto" w:fill="FFFFFF"/>
        </w:rPr>
        <w:t xml:space="preserve"> per week in economic </w:t>
      </w:r>
      <w:proofErr w:type="gramStart"/>
      <w:r>
        <w:rPr>
          <w:rStyle w:val="normaltextrun"/>
          <w:rFonts w:ascii="Calibri" w:hAnsi="Calibri" w:cs="Calibri"/>
          <w:color w:val="4A4A4A"/>
          <w:sz w:val="21"/>
          <w:szCs w:val="21"/>
          <w:shd w:val="clear" w:color="auto" w:fill="FFFFFF"/>
        </w:rPr>
        <w:t>activity;</w:t>
      </w:r>
      <w:proofErr w:type="gramEnd"/>
      <w:r>
        <w:rPr>
          <w:rStyle w:val="eop"/>
          <w:rFonts w:ascii="Calibri" w:hAnsi="Calibri" w:cs="Calibri"/>
          <w:color w:val="4A4A4A"/>
          <w:sz w:val="21"/>
          <w:szCs w:val="21"/>
        </w:rPr>
        <w:t> </w:t>
      </w:r>
    </w:p>
    <w:p w14:paraId="4D54FEE2" w14:textId="64AD39C6"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i/>
          <w:iCs/>
          <w:color w:val="4A4A4A"/>
          <w:sz w:val="21"/>
          <w:szCs w:val="21"/>
          <w:shd w:val="clear" w:color="auto" w:fill="FFFFFF"/>
        </w:rPr>
        <w:t>Child </w:t>
      </w:r>
      <w:proofErr w:type="spellStart"/>
      <w:r>
        <w:rPr>
          <w:rStyle w:val="normaltextrun"/>
          <w:rFonts w:ascii="Calibri" w:hAnsi="Calibri" w:cs="Calibri"/>
          <w:i/>
          <w:iCs/>
          <w:color w:val="4A4A4A"/>
          <w:sz w:val="21"/>
          <w:szCs w:val="21"/>
          <w:shd w:val="clear" w:color="auto" w:fill="FFFFFF"/>
        </w:rPr>
        <w:t>labour</w:t>
      </w:r>
      <w:proofErr w:type="spellEnd"/>
      <w:r>
        <w:rPr>
          <w:rStyle w:val="normaltextrun"/>
          <w:rFonts w:ascii="Calibri" w:hAnsi="Calibri" w:cs="Calibri"/>
          <w:i/>
          <w:iCs/>
          <w:color w:val="4A4A4A"/>
          <w:sz w:val="21"/>
          <w:szCs w:val="21"/>
          <w:shd w:val="clear" w:color="auto" w:fill="FFFFFF"/>
        </w:rPr>
        <w:t> for the 12 to 14 age range</w:t>
      </w:r>
      <w:r>
        <w:rPr>
          <w:rStyle w:val="normaltextrun"/>
          <w:rFonts w:ascii="Calibri" w:hAnsi="Calibri" w:cs="Calibri"/>
          <w:color w:val="4A4A4A"/>
          <w:sz w:val="21"/>
          <w:szCs w:val="21"/>
          <w:shd w:val="clear" w:color="auto" w:fill="FFFFFF"/>
        </w:rPr>
        <w:t>: children working for 14 hours</w:t>
      </w:r>
      <w:r w:rsidR="008567B3">
        <w:rPr>
          <w:rStyle w:val="normaltextrun"/>
          <w:rFonts w:ascii="Calibri" w:hAnsi="Calibri" w:cs="Calibri"/>
          <w:color w:val="4A4A4A"/>
          <w:sz w:val="21"/>
          <w:szCs w:val="21"/>
          <w:shd w:val="clear" w:color="auto" w:fill="FFFFFF"/>
        </w:rPr>
        <w:t xml:space="preserve"> or more</w:t>
      </w:r>
      <w:r>
        <w:rPr>
          <w:rStyle w:val="normaltextrun"/>
          <w:rFonts w:ascii="Calibri" w:hAnsi="Calibri" w:cs="Calibri"/>
          <w:color w:val="4A4A4A"/>
          <w:sz w:val="21"/>
          <w:szCs w:val="21"/>
          <w:shd w:val="clear" w:color="auto" w:fill="FFFFFF"/>
        </w:rPr>
        <w:t xml:space="preserve"> per week in economic </w:t>
      </w:r>
      <w:proofErr w:type="gramStart"/>
      <w:r>
        <w:rPr>
          <w:rStyle w:val="normaltextrun"/>
          <w:rFonts w:ascii="Calibri" w:hAnsi="Calibri" w:cs="Calibri"/>
          <w:color w:val="4A4A4A"/>
          <w:sz w:val="21"/>
          <w:szCs w:val="21"/>
          <w:shd w:val="clear" w:color="auto" w:fill="FFFFFF"/>
        </w:rPr>
        <w:t>activity;</w:t>
      </w:r>
      <w:proofErr w:type="gramEnd"/>
    </w:p>
    <w:p w14:paraId="50C30283" w14:textId="4115165B"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i/>
          <w:iCs/>
          <w:color w:val="4A4A4A"/>
          <w:sz w:val="21"/>
          <w:szCs w:val="21"/>
          <w:shd w:val="clear" w:color="auto" w:fill="FFFFFF"/>
        </w:rPr>
        <w:t>Child </w:t>
      </w:r>
      <w:proofErr w:type="spellStart"/>
      <w:r>
        <w:rPr>
          <w:rStyle w:val="normaltextrun"/>
          <w:rFonts w:ascii="Calibri" w:hAnsi="Calibri" w:cs="Calibri"/>
          <w:i/>
          <w:iCs/>
          <w:color w:val="4A4A4A"/>
          <w:sz w:val="21"/>
          <w:szCs w:val="21"/>
          <w:shd w:val="clear" w:color="auto" w:fill="FFFFFF"/>
        </w:rPr>
        <w:t>labour</w:t>
      </w:r>
      <w:proofErr w:type="spellEnd"/>
      <w:r>
        <w:rPr>
          <w:rStyle w:val="normaltextrun"/>
          <w:rFonts w:ascii="Calibri" w:hAnsi="Calibri" w:cs="Calibri"/>
          <w:i/>
          <w:iCs/>
          <w:color w:val="4A4A4A"/>
          <w:sz w:val="21"/>
          <w:szCs w:val="21"/>
          <w:shd w:val="clear" w:color="auto" w:fill="FFFFFF"/>
        </w:rPr>
        <w:t> for the 15 to 17 age range</w:t>
      </w:r>
      <w:r>
        <w:rPr>
          <w:rStyle w:val="normaltextrun"/>
          <w:rFonts w:ascii="Calibri" w:hAnsi="Calibri" w:cs="Calibri"/>
          <w:color w:val="4A4A4A"/>
          <w:sz w:val="21"/>
          <w:szCs w:val="21"/>
          <w:shd w:val="clear" w:color="auto" w:fill="FFFFFF"/>
        </w:rPr>
        <w:t>: children working for 43 hours</w:t>
      </w:r>
      <w:r w:rsidR="008567B3">
        <w:rPr>
          <w:rStyle w:val="normaltextrun"/>
          <w:rFonts w:ascii="Calibri" w:hAnsi="Calibri" w:cs="Calibri"/>
          <w:color w:val="4A4A4A"/>
          <w:sz w:val="21"/>
          <w:szCs w:val="21"/>
          <w:shd w:val="clear" w:color="auto" w:fill="FFFFFF"/>
        </w:rPr>
        <w:t xml:space="preserve"> or more</w:t>
      </w:r>
      <w:r>
        <w:rPr>
          <w:rStyle w:val="normaltextrun"/>
          <w:rFonts w:ascii="Calibri" w:hAnsi="Calibri" w:cs="Calibri"/>
          <w:color w:val="4A4A4A"/>
          <w:sz w:val="21"/>
          <w:szCs w:val="21"/>
          <w:shd w:val="clear" w:color="auto" w:fill="FFFFFF"/>
        </w:rPr>
        <w:t xml:space="preserve"> per week in economic activity.</w:t>
      </w:r>
    </w:p>
    <w:p w14:paraId="64443055" w14:textId="77777777" w:rsidR="00D379F1" w:rsidRDefault="00D379F1" w:rsidP="00D379F1">
      <w:pPr>
        <w:pStyle w:val="paragraph"/>
        <w:shd w:val="clear" w:color="auto" w:fill="FFFFFF"/>
        <w:spacing w:before="0" w:beforeAutospacing="0" w:after="0" w:afterAutospacing="0"/>
        <w:textAlignment w:val="baseline"/>
        <w:rPr>
          <w:rFonts w:ascii="Segoe UI" w:hAnsi="Segoe UI" w:cs="Segoe UI"/>
          <w:color w:val="4A4A4A"/>
          <w:sz w:val="18"/>
          <w:szCs w:val="18"/>
        </w:rPr>
      </w:pPr>
      <w:r>
        <w:rPr>
          <w:rStyle w:val="eop"/>
          <w:rFonts w:ascii="Calibri" w:hAnsi="Calibri" w:cs="Calibri"/>
          <w:color w:val="4A4A4A"/>
          <w:sz w:val="21"/>
          <w:szCs w:val="21"/>
        </w:rPr>
        <w:t> </w:t>
      </w:r>
    </w:p>
    <w:p w14:paraId="26FF176E"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rPr>
        <w:t>Indicator 2: </w:t>
      </w:r>
      <w:r>
        <w:rPr>
          <w:rStyle w:val="normaltextrun"/>
          <w:rFonts w:ascii="Calibri" w:hAnsi="Calibri" w:cs="Calibri"/>
          <w:color w:val="4A4A4A"/>
          <w:sz w:val="21"/>
          <w:szCs w:val="21"/>
          <w:shd w:val="clear" w:color="auto" w:fill="FFFFFF"/>
          <w:lang w:val="en-GB"/>
        </w:rPr>
        <w:t>Proportion and number of children aged 5-17 years engaged in economic activities and household chores at or above age-specific hourly thresholds (</w:t>
      </w:r>
      <w:r>
        <w:rPr>
          <w:rStyle w:val="normaltextrun"/>
          <w:rFonts w:ascii="Calibri" w:hAnsi="Calibri" w:cs="Calibri"/>
          <w:b/>
          <w:bCs/>
          <w:color w:val="4A4A4A"/>
          <w:sz w:val="21"/>
          <w:szCs w:val="21"/>
          <w:shd w:val="clear" w:color="auto" w:fill="FFFFFF"/>
          <w:lang w:val="en-GB"/>
        </w:rPr>
        <w:t>general production boundary basis</w:t>
      </w:r>
      <w:r>
        <w:rPr>
          <w:rStyle w:val="normaltextrun"/>
          <w:rFonts w:ascii="Calibri" w:hAnsi="Calibri" w:cs="Calibri"/>
          <w:color w:val="4A4A4A"/>
          <w:sz w:val="21"/>
          <w:szCs w:val="21"/>
          <w:shd w:val="clear" w:color="auto" w:fill="FFFFFF"/>
          <w:lang w:val="en-GB"/>
        </w:rPr>
        <w:t>):</w:t>
      </w:r>
      <w:r>
        <w:rPr>
          <w:rStyle w:val="eop"/>
          <w:rFonts w:ascii="Calibri" w:hAnsi="Calibri" w:cs="Calibri"/>
          <w:color w:val="4A4A4A"/>
          <w:sz w:val="21"/>
          <w:szCs w:val="21"/>
        </w:rPr>
        <w:t> </w:t>
      </w:r>
    </w:p>
    <w:p w14:paraId="233295AE" w14:textId="78C3070C"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i/>
          <w:iCs/>
          <w:color w:val="4A4A4A"/>
          <w:sz w:val="21"/>
          <w:szCs w:val="21"/>
          <w:shd w:val="clear" w:color="auto" w:fill="FFFFFF"/>
        </w:rPr>
        <w:t>Child </w:t>
      </w:r>
      <w:proofErr w:type="spellStart"/>
      <w:r>
        <w:rPr>
          <w:rStyle w:val="normaltextrun"/>
          <w:rFonts w:ascii="Calibri" w:hAnsi="Calibri" w:cs="Calibri"/>
          <w:i/>
          <w:iCs/>
          <w:color w:val="4A4A4A"/>
          <w:sz w:val="21"/>
          <w:szCs w:val="21"/>
          <w:shd w:val="clear" w:color="auto" w:fill="FFFFFF"/>
        </w:rPr>
        <w:t>labour</w:t>
      </w:r>
      <w:proofErr w:type="spellEnd"/>
      <w:r>
        <w:rPr>
          <w:rStyle w:val="normaltextrun"/>
          <w:rFonts w:ascii="Calibri" w:hAnsi="Calibri" w:cs="Calibri"/>
          <w:i/>
          <w:iCs/>
          <w:color w:val="4A4A4A"/>
          <w:sz w:val="21"/>
          <w:szCs w:val="21"/>
          <w:shd w:val="clear" w:color="auto" w:fill="FFFFFF"/>
        </w:rPr>
        <w:t> for the 5 to 11 age range</w:t>
      </w:r>
      <w:r>
        <w:rPr>
          <w:rStyle w:val="normaltextrun"/>
          <w:rFonts w:ascii="Calibri" w:hAnsi="Calibri" w:cs="Calibri"/>
          <w:color w:val="4A4A4A"/>
          <w:sz w:val="21"/>
          <w:szCs w:val="21"/>
          <w:shd w:val="clear" w:color="auto" w:fill="FFFFFF"/>
        </w:rPr>
        <w:t>: children working</w:t>
      </w:r>
      <w:r w:rsidR="008567B3">
        <w:rPr>
          <w:rStyle w:val="normaltextrun"/>
          <w:rFonts w:ascii="Calibri" w:hAnsi="Calibri" w:cs="Calibri"/>
          <w:color w:val="4A4A4A"/>
          <w:sz w:val="21"/>
          <w:szCs w:val="21"/>
          <w:shd w:val="clear" w:color="auto" w:fill="FFFFFF"/>
        </w:rPr>
        <w:t xml:space="preserve"> for</w:t>
      </w:r>
      <w:r>
        <w:rPr>
          <w:rStyle w:val="normaltextrun"/>
          <w:rFonts w:ascii="Calibri" w:hAnsi="Calibri" w:cs="Calibri"/>
          <w:color w:val="4A4A4A"/>
          <w:sz w:val="21"/>
          <w:szCs w:val="21"/>
          <w:shd w:val="clear" w:color="auto" w:fill="FFFFFF"/>
        </w:rPr>
        <w:t xml:space="preserve"> 1 hour</w:t>
      </w:r>
      <w:r w:rsidR="008567B3">
        <w:rPr>
          <w:rStyle w:val="normaltextrun"/>
          <w:rFonts w:ascii="Calibri" w:hAnsi="Calibri" w:cs="Calibri"/>
          <w:color w:val="4A4A4A"/>
          <w:sz w:val="21"/>
          <w:szCs w:val="21"/>
          <w:shd w:val="clear" w:color="auto" w:fill="FFFFFF"/>
        </w:rPr>
        <w:t xml:space="preserve"> or more</w:t>
      </w:r>
      <w:r>
        <w:rPr>
          <w:rStyle w:val="normaltextrun"/>
          <w:rFonts w:ascii="Calibri" w:hAnsi="Calibri" w:cs="Calibri"/>
          <w:color w:val="4A4A4A"/>
          <w:sz w:val="21"/>
          <w:szCs w:val="21"/>
          <w:shd w:val="clear" w:color="auto" w:fill="FFFFFF"/>
        </w:rPr>
        <w:t xml:space="preserve"> per week in economic activity and/or involved in unpaid household services for 21 hours</w:t>
      </w:r>
      <w:r w:rsidR="008567B3">
        <w:rPr>
          <w:rStyle w:val="normaltextrun"/>
          <w:rFonts w:ascii="Calibri" w:hAnsi="Calibri" w:cs="Calibri"/>
          <w:color w:val="4A4A4A"/>
          <w:sz w:val="21"/>
          <w:szCs w:val="21"/>
          <w:shd w:val="clear" w:color="auto" w:fill="FFFFFF"/>
        </w:rPr>
        <w:t xml:space="preserve"> or more</w:t>
      </w:r>
      <w:r>
        <w:rPr>
          <w:rStyle w:val="normaltextrun"/>
          <w:rFonts w:ascii="Calibri" w:hAnsi="Calibri" w:cs="Calibri"/>
          <w:color w:val="4A4A4A"/>
          <w:sz w:val="21"/>
          <w:szCs w:val="21"/>
          <w:shd w:val="clear" w:color="auto" w:fill="FFFFFF"/>
        </w:rPr>
        <w:t xml:space="preserve"> per </w:t>
      </w:r>
      <w:proofErr w:type="gramStart"/>
      <w:r>
        <w:rPr>
          <w:rStyle w:val="normaltextrun"/>
          <w:rFonts w:ascii="Calibri" w:hAnsi="Calibri" w:cs="Calibri"/>
          <w:color w:val="4A4A4A"/>
          <w:sz w:val="21"/>
          <w:szCs w:val="21"/>
          <w:shd w:val="clear" w:color="auto" w:fill="FFFFFF"/>
        </w:rPr>
        <w:t>week;</w:t>
      </w:r>
      <w:proofErr w:type="gramEnd"/>
      <w:r>
        <w:rPr>
          <w:rStyle w:val="eop"/>
          <w:rFonts w:ascii="Calibri" w:hAnsi="Calibri" w:cs="Calibri"/>
          <w:color w:val="4A4A4A"/>
          <w:sz w:val="21"/>
          <w:szCs w:val="21"/>
        </w:rPr>
        <w:t> </w:t>
      </w:r>
    </w:p>
    <w:p w14:paraId="66A4E8F5" w14:textId="296931CD"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i/>
          <w:iCs/>
          <w:color w:val="4A4A4A"/>
          <w:sz w:val="21"/>
          <w:szCs w:val="21"/>
          <w:shd w:val="clear" w:color="auto" w:fill="FFFFFF"/>
        </w:rPr>
        <w:t>Child </w:t>
      </w:r>
      <w:proofErr w:type="spellStart"/>
      <w:r>
        <w:rPr>
          <w:rStyle w:val="normaltextrun"/>
          <w:rFonts w:ascii="Calibri" w:hAnsi="Calibri" w:cs="Calibri"/>
          <w:i/>
          <w:iCs/>
          <w:color w:val="4A4A4A"/>
          <w:sz w:val="21"/>
          <w:szCs w:val="21"/>
          <w:shd w:val="clear" w:color="auto" w:fill="FFFFFF"/>
        </w:rPr>
        <w:t>labour</w:t>
      </w:r>
      <w:proofErr w:type="spellEnd"/>
      <w:r>
        <w:rPr>
          <w:rStyle w:val="normaltextrun"/>
          <w:rFonts w:ascii="Calibri" w:hAnsi="Calibri" w:cs="Calibri"/>
          <w:i/>
          <w:iCs/>
          <w:color w:val="4A4A4A"/>
          <w:sz w:val="21"/>
          <w:szCs w:val="21"/>
          <w:shd w:val="clear" w:color="auto" w:fill="FFFFFF"/>
        </w:rPr>
        <w:t> for the 12 to 14 age range</w:t>
      </w:r>
      <w:r>
        <w:rPr>
          <w:rStyle w:val="normaltextrun"/>
          <w:rFonts w:ascii="Calibri" w:hAnsi="Calibri" w:cs="Calibri"/>
          <w:color w:val="4A4A4A"/>
          <w:sz w:val="21"/>
          <w:szCs w:val="21"/>
          <w:shd w:val="clear" w:color="auto" w:fill="FFFFFF"/>
        </w:rPr>
        <w:t>: children working for 14 hours</w:t>
      </w:r>
      <w:r w:rsidR="008567B3">
        <w:rPr>
          <w:rStyle w:val="normaltextrun"/>
          <w:rFonts w:ascii="Calibri" w:hAnsi="Calibri" w:cs="Calibri"/>
          <w:color w:val="4A4A4A"/>
          <w:sz w:val="21"/>
          <w:szCs w:val="21"/>
          <w:shd w:val="clear" w:color="auto" w:fill="FFFFFF"/>
        </w:rPr>
        <w:t xml:space="preserve"> or more</w:t>
      </w:r>
      <w:r>
        <w:rPr>
          <w:rStyle w:val="normaltextrun"/>
          <w:rFonts w:ascii="Calibri" w:hAnsi="Calibri" w:cs="Calibri"/>
          <w:color w:val="4A4A4A"/>
          <w:sz w:val="21"/>
          <w:szCs w:val="21"/>
          <w:shd w:val="clear" w:color="auto" w:fill="FFFFFF"/>
        </w:rPr>
        <w:t xml:space="preserve"> per week in economic activity and/or involved in unpaid household services for 21 hours</w:t>
      </w:r>
      <w:r w:rsidR="008567B3">
        <w:rPr>
          <w:rStyle w:val="normaltextrun"/>
          <w:rFonts w:ascii="Calibri" w:hAnsi="Calibri" w:cs="Calibri"/>
          <w:color w:val="4A4A4A"/>
          <w:sz w:val="21"/>
          <w:szCs w:val="21"/>
          <w:shd w:val="clear" w:color="auto" w:fill="FFFFFF"/>
        </w:rPr>
        <w:t xml:space="preserve"> or more</w:t>
      </w:r>
      <w:r>
        <w:rPr>
          <w:rStyle w:val="normaltextrun"/>
          <w:rFonts w:ascii="Calibri" w:hAnsi="Calibri" w:cs="Calibri"/>
          <w:color w:val="4A4A4A"/>
          <w:sz w:val="21"/>
          <w:szCs w:val="21"/>
          <w:shd w:val="clear" w:color="auto" w:fill="FFFFFF"/>
        </w:rPr>
        <w:t xml:space="preserve"> per </w:t>
      </w:r>
      <w:proofErr w:type="gramStart"/>
      <w:r>
        <w:rPr>
          <w:rStyle w:val="normaltextrun"/>
          <w:rFonts w:ascii="Calibri" w:hAnsi="Calibri" w:cs="Calibri"/>
          <w:color w:val="4A4A4A"/>
          <w:sz w:val="21"/>
          <w:szCs w:val="21"/>
          <w:shd w:val="clear" w:color="auto" w:fill="FFFFFF"/>
        </w:rPr>
        <w:t>week;</w:t>
      </w:r>
      <w:proofErr w:type="gramEnd"/>
      <w:r>
        <w:rPr>
          <w:rStyle w:val="eop"/>
          <w:rFonts w:ascii="Calibri" w:hAnsi="Calibri" w:cs="Calibri"/>
          <w:color w:val="4A4A4A"/>
          <w:sz w:val="21"/>
          <w:szCs w:val="21"/>
        </w:rPr>
        <w:t> </w:t>
      </w:r>
    </w:p>
    <w:p w14:paraId="5F89FA69" w14:textId="2A77B31A"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i/>
          <w:iCs/>
          <w:color w:val="4A4A4A"/>
          <w:sz w:val="21"/>
          <w:szCs w:val="21"/>
          <w:shd w:val="clear" w:color="auto" w:fill="FFFFFF"/>
        </w:rPr>
        <w:t>Child </w:t>
      </w:r>
      <w:proofErr w:type="spellStart"/>
      <w:r>
        <w:rPr>
          <w:rStyle w:val="normaltextrun"/>
          <w:rFonts w:ascii="Calibri" w:hAnsi="Calibri" w:cs="Calibri"/>
          <w:i/>
          <w:iCs/>
          <w:color w:val="4A4A4A"/>
          <w:sz w:val="21"/>
          <w:szCs w:val="21"/>
          <w:shd w:val="clear" w:color="auto" w:fill="FFFFFF"/>
        </w:rPr>
        <w:t>labour</w:t>
      </w:r>
      <w:proofErr w:type="spellEnd"/>
      <w:r>
        <w:rPr>
          <w:rStyle w:val="normaltextrun"/>
          <w:rFonts w:ascii="Calibri" w:hAnsi="Calibri" w:cs="Calibri"/>
          <w:i/>
          <w:iCs/>
          <w:color w:val="4A4A4A"/>
          <w:sz w:val="21"/>
          <w:szCs w:val="21"/>
          <w:shd w:val="clear" w:color="auto" w:fill="FFFFFF"/>
        </w:rPr>
        <w:t> for the 15 to 17 age range</w:t>
      </w:r>
      <w:r>
        <w:rPr>
          <w:rStyle w:val="normaltextrun"/>
          <w:rFonts w:ascii="Calibri" w:hAnsi="Calibri" w:cs="Calibri"/>
          <w:color w:val="4A4A4A"/>
          <w:sz w:val="21"/>
          <w:szCs w:val="21"/>
          <w:shd w:val="clear" w:color="auto" w:fill="FFFFFF"/>
        </w:rPr>
        <w:t>: children working for 43 hours</w:t>
      </w:r>
      <w:r w:rsidR="008567B3">
        <w:rPr>
          <w:rStyle w:val="normaltextrun"/>
          <w:rFonts w:ascii="Calibri" w:hAnsi="Calibri" w:cs="Calibri"/>
          <w:color w:val="4A4A4A"/>
          <w:sz w:val="21"/>
          <w:szCs w:val="21"/>
          <w:shd w:val="clear" w:color="auto" w:fill="FFFFFF"/>
        </w:rPr>
        <w:t xml:space="preserve"> or more</w:t>
      </w:r>
      <w:r>
        <w:rPr>
          <w:rStyle w:val="normaltextrun"/>
          <w:rFonts w:ascii="Calibri" w:hAnsi="Calibri" w:cs="Calibri"/>
          <w:color w:val="4A4A4A"/>
          <w:sz w:val="21"/>
          <w:szCs w:val="21"/>
          <w:shd w:val="clear" w:color="auto" w:fill="FFFFFF"/>
        </w:rPr>
        <w:t xml:space="preserve"> per week in economic activity.</w:t>
      </w:r>
      <w:r w:rsidR="00C4397B">
        <w:rPr>
          <w:rStyle w:val="FootnoteReference"/>
          <w:rFonts w:ascii="Calibri" w:hAnsi="Calibri" w:cs="Calibri"/>
          <w:color w:val="4A4A4A"/>
          <w:sz w:val="21"/>
          <w:szCs w:val="21"/>
          <w:shd w:val="clear" w:color="auto" w:fill="FFFFFF"/>
        </w:rPr>
        <w:footnoteReference w:id="3"/>
      </w:r>
      <w:r>
        <w:rPr>
          <w:rStyle w:val="eop"/>
          <w:rFonts w:ascii="Calibri" w:hAnsi="Calibri" w:cs="Calibri"/>
          <w:color w:val="4A4A4A"/>
          <w:sz w:val="21"/>
          <w:szCs w:val="21"/>
        </w:rPr>
        <w:t> </w:t>
      </w:r>
    </w:p>
    <w:p w14:paraId="4B586E34" w14:textId="77777777" w:rsidR="00D379F1" w:rsidRDefault="00D379F1" w:rsidP="00D379F1">
      <w:pPr>
        <w:pStyle w:val="paragraph"/>
        <w:shd w:val="clear" w:color="auto" w:fill="FFFFFF"/>
        <w:spacing w:before="0" w:beforeAutospacing="0" w:after="0" w:afterAutospacing="0"/>
        <w:textAlignment w:val="baseline"/>
        <w:rPr>
          <w:rFonts w:ascii="Segoe UI" w:hAnsi="Segoe UI" w:cs="Segoe UI"/>
          <w:color w:val="4A4A4A"/>
          <w:sz w:val="18"/>
          <w:szCs w:val="18"/>
        </w:rPr>
      </w:pPr>
      <w:r>
        <w:rPr>
          <w:rStyle w:val="eop"/>
          <w:rFonts w:ascii="Calibri" w:hAnsi="Calibri" w:cs="Calibri"/>
          <w:color w:val="4A4A4A"/>
          <w:sz w:val="21"/>
          <w:szCs w:val="21"/>
        </w:rPr>
        <w:t> </w:t>
      </w:r>
    </w:p>
    <w:p w14:paraId="1A88957D" w14:textId="77777777" w:rsidR="00D379F1" w:rsidRDefault="00D379F1" w:rsidP="00D379F1">
      <w:pPr>
        <w:pStyle w:val="paragraph"/>
        <w:shd w:val="clear" w:color="auto" w:fill="FFFFFF"/>
        <w:spacing w:before="0" w:beforeAutospacing="0" w:after="0" w:afterAutospacing="0"/>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rPr>
        <w:t>The concept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also includes the worst forms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other than hazardous (18</w:t>
      </w:r>
      <w:r>
        <w:rPr>
          <w:rStyle w:val="normaltextrun"/>
          <w:rFonts w:ascii="Calibri" w:hAnsi="Calibri" w:cs="Calibri"/>
          <w:color w:val="4A4A4A"/>
          <w:shd w:val="clear" w:color="auto" w:fill="FFFFFF"/>
          <w:vertAlign w:val="superscript"/>
        </w:rPr>
        <w:t>th</w:t>
      </w:r>
      <w:r>
        <w:rPr>
          <w:rStyle w:val="normaltextrun"/>
          <w:rFonts w:ascii="Calibri" w:hAnsi="Calibri" w:cs="Calibri"/>
          <w:color w:val="4A4A4A"/>
          <w:sz w:val="21"/>
          <w:szCs w:val="21"/>
          <w:shd w:val="clear" w:color="auto" w:fill="FFFFFF"/>
        </w:rPr>
        <w:t> ICLS paragraphs 33 to 34) as well as hazardous work (18</w:t>
      </w:r>
      <w:r>
        <w:rPr>
          <w:rStyle w:val="normaltextrun"/>
          <w:rFonts w:ascii="Calibri" w:hAnsi="Calibri" w:cs="Calibri"/>
          <w:color w:val="4A4A4A"/>
          <w:shd w:val="clear" w:color="auto" w:fill="FFFFFF"/>
          <w:vertAlign w:val="superscript"/>
        </w:rPr>
        <w:t>th</w:t>
      </w:r>
      <w:r>
        <w:rPr>
          <w:rStyle w:val="normaltextrun"/>
          <w:rFonts w:ascii="Calibri" w:hAnsi="Calibri" w:cs="Calibri"/>
          <w:color w:val="4A4A4A"/>
          <w:sz w:val="21"/>
          <w:szCs w:val="21"/>
          <w:shd w:val="clear" w:color="auto" w:fill="FFFFFF"/>
        </w:rPr>
        <w:t> ICLS paragraphs 21 to 32). The worst forms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xml:space="preserve"> include all forms of slavery or similar practices such as trafficking and the recruitment and </w:t>
      </w:r>
      <w:r>
        <w:rPr>
          <w:rStyle w:val="normaltextrun"/>
          <w:rFonts w:ascii="Calibri" w:hAnsi="Calibri" w:cs="Calibri"/>
          <w:color w:val="4A4A4A"/>
          <w:sz w:val="21"/>
          <w:szCs w:val="21"/>
          <w:shd w:val="clear" w:color="auto" w:fill="FFFFFF"/>
        </w:rPr>
        <w:lastRenderedPageBreak/>
        <w:t xml:space="preserve">use of child soldiers, the use or procurement of children for prostitution or other illicit activities, and other work that is likely to harm children’s health, </w:t>
      </w:r>
      <w:proofErr w:type="gramStart"/>
      <w:r>
        <w:rPr>
          <w:rStyle w:val="normaltextrun"/>
          <w:rFonts w:ascii="Calibri" w:hAnsi="Calibri" w:cs="Calibri"/>
          <w:color w:val="4A4A4A"/>
          <w:sz w:val="21"/>
          <w:szCs w:val="21"/>
          <w:shd w:val="clear" w:color="auto" w:fill="FFFFFF"/>
        </w:rPr>
        <w:t>safety</w:t>
      </w:r>
      <w:proofErr w:type="gramEnd"/>
      <w:r>
        <w:rPr>
          <w:rStyle w:val="normaltextrun"/>
          <w:rFonts w:ascii="Calibri" w:hAnsi="Calibri" w:cs="Calibri"/>
          <w:color w:val="4A4A4A"/>
          <w:sz w:val="21"/>
          <w:szCs w:val="21"/>
          <w:shd w:val="clear" w:color="auto" w:fill="FFFFFF"/>
        </w:rPr>
        <w:t xml:space="preserve"> or well-being. </w:t>
      </w:r>
      <w:r>
        <w:rPr>
          <w:rStyle w:val="eop"/>
          <w:rFonts w:ascii="Calibri" w:hAnsi="Calibri" w:cs="Calibri"/>
          <w:color w:val="4A4A4A"/>
          <w:sz w:val="21"/>
          <w:szCs w:val="21"/>
        </w:rPr>
        <w:t> </w:t>
      </w:r>
    </w:p>
    <w:p w14:paraId="04DB92AA" w14:textId="77777777" w:rsidR="00D379F1" w:rsidRDefault="00D379F1" w:rsidP="00D379F1">
      <w:pPr>
        <w:pStyle w:val="paragraph"/>
        <w:shd w:val="clear" w:color="auto" w:fill="FFFFFF"/>
        <w:spacing w:before="0" w:beforeAutospacing="0" w:after="0" w:afterAutospacing="0"/>
        <w:textAlignment w:val="baseline"/>
        <w:rPr>
          <w:rFonts w:ascii="Segoe UI" w:hAnsi="Segoe UI" w:cs="Segoe UI"/>
          <w:color w:val="4A4A4A"/>
          <w:sz w:val="18"/>
          <w:szCs w:val="18"/>
        </w:rPr>
      </w:pPr>
      <w:r>
        <w:rPr>
          <w:rStyle w:val="eop"/>
          <w:rFonts w:ascii="Calibri" w:hAnsi="Calibri" w:cs="Calibri"/>
          <w:color w:val="4A4A4A"/>
          <w:sz w:val="21"/>
          <w:szCs w:val="21"/>
        </w:rPr>
        <w:t> </w:t>
      </w:r>
    </w:p>
    <w:p w14:paraId="6E54D3D6" w14:textId="50123AAF" w:rsidR="00EC2915" w:rsidRPr="002427DA" w:rsidRDefault="00EC2915" w:rsidP="002427DA">
      <w:pPr>
        <w:pStyle w:val="paragraph"/>
        <w:shd w:val="clear" w:color="auto" w:fill="FFFFFF"/>
        <w:spacing w:before="0" w:beforeAutospacing="0" w:after="0" w:afterAutospacing="0"/>
        <w:textAlignment w:val="baseline"/>
        <w:rPr>
          <w:rFonts w:ascii="Segoe UI" w:hAnsi="Segoe UI" w:cs="Segoe UI"/>
          <w:b/>
          <w:bCs/>
          <w:color w:val="4A4A4A"/>
          <w:sz w:val="18"/>
          <w:szCs w:val="18"/>
        </w:rPr>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5780B58A" w14:textId="2EF4C3DA" w:rsidR="00C53DBA" w:rsidRDefault="006C3D7B" w:rsidP="005E716E">
      <w:pPr>
        <w:pStyle w:val="MText"/>
      </w:pPr>
      <w:r>
        <w:t>Percent</w:t>
      </w:r>
      <w:r w:rsidR="00A818FC">
        <w:t xml:space="preserve"> (%)</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D384BA8" w14:textId="465111FA" w:rsidR="00EC2915" w:rsidRDefault="00F77BE9" w:rsidP="00F77BE9">
      <w:pPr>
        <w:pStyle w:val="MText"/>
      </w:pPr>
      <w:r>
        <w:t>The definition of child labour is in line with the standard set by the latest 20</w:t>
      </w:r>
      <w:r w:rsidRPr="00F77BE9">
        <w:rPr>
          <w:vertAlign w:val="superscript"/>
        </w:rPr>
        <w:t>th</w:t>
      </w:r>
      <w:r>
        <w:t xml:space="preserve"> International Conference of Labour Statisticians. Resolution to amend the 18th ICLS Resolution concerning statistics of child labour.</w:t>
      </w:r>
      <w:r w:rsidR="00AE72C3">
        <w:t xml:space="preserve"> </w:t>
      </w:r>
      <w:r>
        <w:t>ILO. Geneva, October 2019</w:t>
      </w: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34A2C9AB" w14:textId="00CF0AA5" w:rsidR="00D379F1" w:rsidRPr="004A5024" w:rsidRDefault="00D379F1" w:rsidP="004A5024">
      <w:pPr>
        <w:pStyle w:val="paragraph"/>
        <w:shd w:val="clear" w:color="auto" w:fill="FFFFFF"/>
        <w:spacing w:before="0" w:beforeAutospacing="0" w:after="0" w:afterAutospacing="0" w:line="276" w:lineRule="auto"/>
        <w:textAlignment w:val="baseline"/>
        <w:rPr>
          <w:rStyle w:val="eop"/>
          <w:rFonts w:ascii="Calibri" w:hAnsi="Calibri"/>
          <w:color w:val="4A4A4A"/>
          <w:sz w:val="21"/>
          <w:lang w:val="en-GB"/>
        </w:rPr>
      </w:pPr>
      <w:r>
        <w:rPr>
          <w:rStyle w:val="normaltextrun"/>
          <w:rFonts w:ascii="Calibri" w:hAnsi="Calibri" w:cs="Calibri"/>
          <w:color w:val="4A4A4A"/>
          <w:sz w:val="21"/>
          <w:szCs w:val="21"/>
          <w:shd w:val="clear" w:color="auto" w:fill="FFFFFF"/>
          <w:lang w:val="en-GB"/>
        </w:rPr>
        <w:t>Household surveys such as National Labour Force Surveys, National Multipurpose Household Surveys, UNICEF-supported Multiple Indicator Cluster Surveys (MICS), Demographic and Health Surveys (DHS), ILO-supported Statistical Information and Monitoring Programme on Ch</w:t>
      </w:r>
      <w:r w:rsidR="002A3DB5">
        <w:rPr>
          <w:rStyle w:val="normaltextrun"/>
          <w:rFonts w:ascii="Calibri" w:hAnsi="Calibri" w:cs="Calibri"/>
          <w:color w:val="4A4A4A"/>
          <w:sz w:val="21"/>
          <w:szCs w:val="21"/>
          <w:shd w:val="clear" w:color="auto" w:fill="FFFFFF"/>
          <w:lang w:val="en-GB"/>
        </w:rPr>
        <w:t>ild Labour (SIMPOC), and World B</w:t>
      </w:r>
      <w:r>
        <w:rPr>
          <w:rStyle w:val="normaltextrun"/>
          <w:rFonts w:ascii="Calibri" w:hAnsi="Calibri" w:cs="Calibri"/>
          <w:color w:val="4A4A4A"/>
          <w:sz w:val="21"/>
          <w:szCs w:val="21"/>
          <w:shd w:val="clear" w:color="auto" w:fill="FFFFFF"/>
          <w:lang w:val="en-GB"/>
        </w:rPr>
        <w:t>ank Living Standard Measurement surveys (LSMS) are among the most important instruments for generating information on child labour in developing countries. Estimates of child labour generated by these survey instruments are increasingly relied on by countries to monitor progress towards national and global child labour elimination targets. Many countries also produce national labour estimates and reports that often include data on child labour and/or employment among children. </w:t>
      </w:r>
      <w:r>
        <w:rPr>
          <w:rStyle w:val="eop"/>
          <w:rFonts w:ascii="Calibri" w:hAnsi="Calibri" w:cs="Calibri"/>
          <w:color w:val="4A4A4A"/>
          <w:sz w:val="21"/>
          <w:szCs w:val="21"/>
        </w:rPr>
        <w:t> </w:t>
      </w:r>
    </w:p>
    <w:p w14:paraId="3018A8D8" w14:textId="3BF7A873" w:rsidR="00EC2915" w:rsidRPr="004A5024" w:rsidRDefault="00EC2915" w:rsidP="00A0125E">
      <w:pPr>
        <w:pStyle w:val="MText"/>
        <w:shd w:val="clear" w:color="auto" w:fill="FFFFFF" w:themeFill="background1"/>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5F5EAA4C" w14:textId="7BCB8625" w:rsidR="00D379F1" w:rsidRDefault="00D379F1" w:rsidP="00D379F1">
      <w:pPr>
        <w:pStyle w:val="MText"/>
      </w:pPr>
      <w:r>
        <w:t xml:space="preserve">UNICEF undertakes a wide consultative process of compiling and assessing data from national sources for the purposes of updating its global databases </w:t>
      </w:r>
      <w:proofErr w:type="gramStart"/>
      <w:r>
        <w:t>on the situation of</w:t>
      </w:r>
      <w:proofErr w:type="gramEnd"/>
      <w:r>
        <w:t xml:space="preserve"> children. Up until 2017, the mechanism UNICEF used to collaborate with national authorities on ensuring data quality and international comparability on key indicators of relevance to children was known as Country Data Reporting on the Indicators for the Goals (CRING). </w:t>
      </w:r>
    </w:p>
    <w:p w14:paraId="27F911F0" w14:textId="77777777" w:rsidR="00D379F1" w:rsidRDefault="00D379F1" w:rsidP="00D379F1">
      <w:pPr>
        <w:pStyle w:val="MText"/>
      </w:pPr>
    </w:p>
    <w:p w14:paraId="5823FBC8" w14:textId="2F2B8813" w:rsidR="00576CFA" w:rsidRPr="00A96255" w:rsidRDefault="00D379F1" w:rsidP="00D379F1">
      <w:pPr>
        <w:pStyle w:val="MText"/>
      </w:pPr>
      <w:r>
        <w:t>As of 2018, UNICEF launched a new country consultation process with national authorities on selected child-related global SDG indicators it is custodian or co-custodian to</w:t>
      </w:r>
      <w:r w:rsidR="00B7033B">
        <w:t>, to</w:t>
      </w:r>
      <w:r>
        <w:t xml:space="preserve"> meet emerging standards and guidelines on data flows for global reporting of SDG indicators, which place strong emphasis on technical rigour, country ownership and use of official data and statistics. The consultation process solicited feedback directly from National Statistical Offices</w:t>
      </w:r>
      <w:r w:rsidR="001E34D0">
        <w:t xml:space="preserve"> (NSOs)</w:t>
      </w:r>
      <w:r>
        <w:t xml:space="preserve">, as well as other government agencies responsible for official statistics, on the compilation of the indicators, including the data sources used, and the application of internationally agreed definitions, classification and methodologies to the data from that source. The results of this country consultation are reviewed and discussed with ILO. Once reviewed, feedback is made available to countries on </w:t>
      </w:r>
      <w:proofErr w:type="gramStart"/>
      <w:r>
        <w:t>whether or not</w:t>
      </w:r>
      <w:proofErr w:type="gramEnd"/>
      <w:r>
        <w:t xml:space="preserve"> specific data points are accepted, and if not, the reasons why. </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01BA862E" w14:textId="17466CF9" w:rsidR="00EC2915" w:rsidRDefault="00113729" w:rsidP="00576CFA">
      <w:pPr>
        <w:pStyle w:val="MText"/>
        <w:rPr>
          <w:rStyle w:val="eop"/>
          <w:rFonts w:ascii="Calibri" w:hAnsi="Calibri" w:cs="Calibri"/>
        </w:rPr>
      </w:pPr>
      <w:r>
        <w:rPr>
          <w:rStyle w:val="normaltextrun"/>
          <w:rFonts w:ascii="Calibri" w:hAnsi="Calibri" w:cs="Calibri"/>
        </w:rPr>
        <w:lastRenderedPageBreak/>
        <w:t xml:space="preserve">UNICEF will undertake an annual country consultation likely between December and January every year to allow for review and processing of the feedback received </w:t>
      </w:r>
      <w:proofErr w:type="gramStart"/>
      <w:r>
        <w:rPr>
          <w:rStyle w:val="normaltextrun"/>
          <w:rFonts w:ascii="Calibri" w:hAnsi="Calibri" w:cs="Calibri"/>
        </w:rPr>
        <w:t>in order to</w:t>
      </w:r>
      <w:proofErr w:type="gramEnd"/>
      <w:r>
        <w:rPr>
          <w:rStyle w:val="normaltextrun"/>
          <w:rFonts w:ascii="Calibri" w:hAnsi="Calibri" w:cs="Calibri"/>
        </w:rPr>
        <w:t xml:space="preserve"> meet global SDG reporting deadlines.</w:t>
      </w:r>
      <w:r>
        <w:rPr>
          <w:rStyle w:val="eop"/>
          <w:rFonts w:ascii="Calibri" w:hAnsi="Calibri" w:cs="Calibri"/>
        </w:rPr>
        <w:t> </w:t>
      </w:r>
    </w:p>
    <w:p w14:paraId="03CF3FC9" w14:textId="77777777" w:rsidR="00113729" w:rsidRPr="00A96255" w:rsidRDefault="00113729"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51714796" w14:textId="77FAE2C4" w:rsidR="00C4397B" w:rsidRPr="00A96255" w:rsidRDefault="00C4397B" w:rsidP="00C4397B">
      <w:pPr>
        <w:pStyle w:val="MText"/>
      </w:pPr>
      <w:r w:rsidRPr="00530527">
        <w:t xml:space="preserve">Updated data on </w:t>
      </w:r>
      <w:r>
        <w:t>8.7.1</w:t>
      </w:r>
      <w:r w:rsidRPr="00530527">
        <w:t xml:space="preserve"> will be available in the SDG reporting period every February/March.</w:t>
      </w:r>
    </w:p>
    <w:p w14:paraId="5C29BED5" w14:textId="77777777" w:rsidR="00113729" w:rsidRPr="00A96255" w:rsidRDefault="00113729"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50A66E64" w14:textId="725953EA" w:rsidR="00EC2915" w:rsidRDefault="00113729" w:rsidP="00576CFA">
      <w:pPr>
        <w:pStyle w:val="MText"/>
        <w:rPr>
          <w:rStyle w:val="eop"/>
          <w:rFonts w:ascii="Calibri" w:hAnsi="Calibri" w:cs="Calibri"/>
        </w:rPr>
      </w:pPr>
      <w:r>
        <w:rPr>
          <w:rStyle w:val="normaltextrun"/>
          <w:rFonts w:ascii="Calibri" w:hAnsi="Calibri" w:cs="Calibri"/>
          <w:shd w:val="clear" w:color="auto" w:fill="FFFFFF"/>
        </w:rPr>
        <w:t>National Statistical Offices (for the most part) and line ministries/other government agencies and International agencies that have conducted labour force surveys or other household surveys through which data on child labour were collected. </w:t>
      </w:r>
      <w:r>
        <w:rPr>
          <w:rStyle w:val="eop"/>
          <w:rFonts w:ascii="Calibri" w:hAnsi="Calibri" w:cs="Calibri"/>
        </w:rPr>
        <w:t> </w:t>
      </w:r>
    </w:p>
    <w:p w14:paraId="078CA777" w14:textId="77777777" w:rsidR="00113729" w:rsidRPr="00A96255" w:rsidRDefault="00113729"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2489E9C0" w14:textId="1467BFFB" w:rsidR="00875961" w:rsidRDefault="00875961" w:rsidP="00875961">
      <w:pPr>
        <w:pStyle w:val="paragraph"/>
        <w:shd w:val="clear" w:color="auto" w:fill="FFFFFF"/>
        <w:spacing w:before="0" w:beforeAutospacing="0" w:after="0" w:afterAutospacing="0"/>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en-GB"/>
        </w:rPr>
        <w:t>United Nations Children's Fund (UNICEF) </w:t>
      </w:r>
      <w:r>
        <w:rPr>
          <w:rFonts w:ascii="Segoe UI" w:hAnsi="Segoe UI" w:cs="Segoe UI"/>
          <w:color w:val="4A4A4A"/>
          <w:sz w:val="18"/>
          <w:szCs w:val="18"/>
        </w:rPr>
        <w:t xml:space="preserve">and </w:t>
      </w:r>
      <w:r>
        <w:rPr>
          <w:rStyle w:val="normaltextrun"/>
          <w:rFonts w:ascii="Calibri" w:hAnsi="Calibri" w:cs="Calibri"/>
          <w:color w:val="4A4A4A"/>
          <w:sz w:val="21"/>
          <w:szCs w:val="21"/>
          <w:shd w:val="clear" w:color="auto" w:fill="FFFFFF"/>
          <w:lang w:val="en-GB"/>
        </w:rPr>
        <w:t>International Labour Organization (ILO)</w:t>
      </w:r>
      <w:r>
        <w:rPr>
          <w:rStyle w:val="eop"/>
          <w:rFonts w:ascii="Calibri" w:hAnsi="Calibri" w:cs="Calibri"/>
          <w:color w:val="4A4A4A"/>
          <w:sz w:val="21"/>
          <w:szCs w:val="21"/>
        </w:rPr>
        <w:t> </w:t>
      </w:r>
    </w:p>
    <w:p w14:paraId="7DF5F920" w14:textId="77777777" w:rsidR="00113729" w:rsidRPr="00A96255" w:rsidRDefault="00113729" w:rsidP="00576CFA">
      <w:pPr>
        <w:pStyle w:val="MText"/>
      </w:pPr>
    </w:p>
    <w:p w14:paraId="5655E768" w14:textId="5429F32E" w:rsidR="00E46D96" w:rsidRPr="00A96255" w:rsidRDefault="00E46D96" w:rsidP="00F719A8">
      <w:pPr>
        <w:pStyle w:val="MHeader2"/>
      </w:pPr>
      <w:r w:rsidRPr="00A96255">
        <w:t xml:space="preserve">3.g. Institutional mandate </w:t>
      </w:r>
      <w:r>
        <w:rPr>
          <w:color w:val="B4B4B4"/>
          <w:sz w:val="20"/>
        </w:rPr>
        <w:t>(INST_MANDATE)</w:t>
      </w:r>
    </w:p>
    <w:p w14:paraId="6217EBD9" w14:textId="67F5318A" w:rsidR="008F2C16" w:rsidRPr="00A96255" w:rsidRDefault="008F2C16" w:rsidP="00AC4750">
      <w:pPr>
        <w:pStyle w:val="MText"/>
      </w:pPr>
      <w:r w:rsidRPr="008F2C16">
        <w:t xml:space="preserve">The ILO is the UN focal point for labour statistics. It sets international standards for labour statistics through the International Conference of Labour Statisticians. It also compiles and produces labour statistics with the goal of disseminating </w:t>
      </w:r>
      <w:r w:rsidR="00A40784" w:rsidRPr="008F2C16">
        <w:t>internationally comparable</w:t>
      </w:r>
      <w:r w:rsidRPr="008F2C16">
        <w:t xml:space="preserve"> </w:t>
      </w:r>
      <w:proofErr w:type="gramStart"/>
      <w:r w:rsidRPr="008F2C16">
        <w:t>datasets, and</w:t>
      </w:r>
      <w:proofErr w:type="gramEnd"/>
      <w:r w:rsidRPr="008F2C16">
        <w:t xml:space="preserve"> provides technical assistance and training to ILO member States to support their efforts to produce high quality </w:t>
      </w:r>
      <w:r w:rsidR="007913EB">
        <w:t xml:space="preserve">labour market </w:t>
      </w:r>
      <w:r w:rsidRPr="008F2C16">
        <w:t>data</w:t>
      </w:r>
      <w:r w:rsidR="007913EB">
        <w:t>, including child labour data</w:t>
      </w:r>
      <w:r w:rsidRPr="008F2C16">
        <w:t>.</w:t>
      </w:r>
    </w:p>
    <w:p w14:paraId="116664D6" w14:textId="272A706A" w:rsidR="007A147A" w:rsidRDefault="007A147A" w:rsidP="00576CFA">
      <w:pPr>
        <w:pStyle w:val="MText"/>
      </w:pPr>
    </w:p>
    <w:p w14:paraId="01B55DFC" w14:textId="710E8D4E" w:rsidR="007A147A" w:rsidRPr="00A96255" w:rsidRDefault="007A147A" w:rsidP="007A147A">
      <w:pPr>
        <w:pStyle w:val="MText"/>
      </w:pPr>
      <w:r>
        <w:t>UNICEF provides</w:t>
      </w:r>
      <w:r w:rsidRPr="008F2C16">
        <w:t xml:space="preserve"> technical </w:t>
      </w:r>
      <w:r>
        <w:t xml:space="preserve">and financial </w:t>
      </w:r>
      <w:r w:rsidRPr="008F2C16">
        <w:t xml:space="preserve">assistance to </w:t>
      </w:r>
      <w:r>
        <w:t>M</w:t>
      </w:r>
      <w:r w:rsidRPr="008F2C16">
        <w:t xml:space="preserve">ember States to support their efforts to </w:t>
      </w:r>
      <w:r>
        <w:t xml:space="preserve">collect </w:t>
      </w:r>
      <w:r w:rsidRPr="008F2C16">
        <w:t>high quality data</w:t>
      </w:r>
      <w:r>
        <w:t xml:space="preserve"> on child labour, including through UNICEF-supported MICS </w:t>
      </w:r>
      <w:r w:rsidR="00881BAA">
        <w:t>household survey</w:t>
      </w:r>
      <w:r>
        <w:t xml:space="preserve"> programme. UNICEF </w:t>
      </w:r>
      <w:r w:rsidRPr="008F2C16">
        <w:t xml:space="preserve">also compiles </w:t>
      </w:r>
      <w:r>
        <w:t xml:space="preserve">child labour </w:t>
      </w:r>
      <w:r w:rsidRPr="008F2C16">
        <w:t xml:space="preserve">statistics with the goal of </w:t>
      </w:r>
      <w:r>
        <w:t xml:space="preserve">making </w:t>
      </w:r>
      <w:r w:rsidRPr="008F2C16">
        <w:t>internationally comparable datasets</w:t>
      </w:r>
      <w:r>
        <w:t xml:space="preserve"> publicly available</w:t>
      </w:r>
      <w:r w:rsidRPr="008F2C16">
        <w:t>, and</w:t>
      </w:r>
      <w:r>
        <w:t xml:space="preserve"> </w:t>
      </w:r>
      <w:r w:rsidR="00881BAA">
        <w:t xml:space="preserve">it </w:t>
      </w:r>
      <w:proofErr w:type="spellStart"/>
      <w:r>
        <w:t>analyzes</w:t>
      </w:r>
      <w:proofErr w:type="spellEnd"/>
      <w:r>
        <w:t xml:space="preserve"> child labour </w:t>
      </w:r>
      <w:r w:rsidR="00246C97">
        <w:t xml:space="preserve">statistics, which are included </w:t>
      </w:r>
      <w:r>
        <w:t>in relevant data-driven publications</w:t>
      </w:r>
      <w:r w:rsidR="00881BAA">
        <w:t xml:space="preserve">, including in its flagship publication, </w:t>
      </w:r>
      <w:r w:rsidR="00881BAA" w:rsidRPr="00A40784">
        <w:rPr>
          <w:i/>
          <w:iCs/>
        </w:rPr>
        <w:t>The State of the World’s Children</w:t>
      </w:r>
      <w:r>
        <w:t xml:space="preserve">. </w:t>
      </w:r>
    </w:p>
    <w:p w14:paraId="007E209A" w14:textId="77777777" w:rsidR="007A147A" w:rsidRPr="00A96255" w:rsidRDefault="007A147A" w:rsidP="00576CFA">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592689CB"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en-GB"/>
        </w:rPr>
        <w:t>Far too many children in the world remain trapped in child labour, compromising their individual future and our collective futures. According to the latest ILO global estimates, about 152 million children worldwide – 64 million girls and 88 million boys - are child labourers, accounting for almost 10 percent of the child population.  These stark figures underscore the need for accelerated progress against child labour in the lead up to the 2025 target date for ending child labour in all its forms, and the accompanying need for child labour statistics </w:t>
      </w:r>
      <w:r>
        <w:rPr>
          <w:rStyle w:val="normaltextrun"/>
          <w:rFonts w:ascii="Calibri" w:hAnsi="Calibri" w:cs="Calibri"/>
          <w:color w:val="4A4A4A"/>
          <w:sz w:val="21"/>
          <w:szCs w:val="21"/>
          <w:shd w:val="clear" w:color="auto" w:fill="FFFFFF"/>
        </w:rPr>
        <w:t xml:space="preserve">to monitor and guide efforts in this regard.  Reliable, </w:t>
      </w:r>
      <w:proofErr w:type="gramStart"/>
      <w:r>
        <w:rPr>
          <w:rStyle w:val="normaltextrun"/>
          <w:rFonts w:ascii="Calibri" w:hAnsi="Calibri" w:cs="Calibri"/>
          <w:color w:val="4A4A4A"/>
          <w:sz w:val="21"/>
          <w:szCs w:val="21"/>
          <w:shd w:val="clear" w:color="auto" w:fill="FFFFFF"/>
        </w:rPr>
        <w:t>comprehensive</w:t>
      </w:r>
      <w:proofErr w:type="gramEnd"/>
      <w:r>
        <w:rPr>
          <w:rStyle w:val="normaltextrun"/>
          <w:rFonts w:ascii="Calibri" w:hAnsi="Calibri" w:cs="Calibri"/>
          <w:color w:val="4A4A4A"/>
          <w:sz w:val="21"/>
          <w:szCs w:val="21"/>
          <w:shd w:val="clear" w:color="auto" w:fill="FFFFFF"/>
        </w:rPr>
        <w:t xml:space="preserve"> and timely data on the nature and extent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provide a basis for determining priorities for national global action against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Statistical information on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and more broadly on all working children, also provide a basis for increasing public awareness of the situation of working children and for the development of appropriate regulatory frameworks and policies.</w:t>
      </w:r>
      <w:r>
        <w:rPr>
          <w:rStyle w:val="eop"/>
          <w:rFonts w:ascii="Calibri" w:hAnsi="Calibri" w:cs="Calibri"/>
          <w:color w:val="4A4A4A"/>
          <w:sz w:val="21"/>
          <w:szCs w:val="21"/>
        </w:rPr>
        <w:t> </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16BE5B4C" w14:textId="77777777" w:rsidR="00D379F1" w:rsidRDefault="00D379F1" w:rsidP="00A0125E">
      <w:pPr>
        <w:pStyle w:val="paragraph"/>
        <w:shd w:val="clear" w:color="auto" w:fill="FFFFFF" w:themeFill="background1"/>
        <w:spacing w:before="0" w:beforeAutospacing="0" w:after="0" w:afterAutospacing="0"/>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rPr>
        <w:lastRenderedPageBreak/>
        <w:t>While the concept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includes working in activities that are hazardous in nature, to ensure comparability of estimates over time and to minimize data quality issues, work beyond age-specific hourly thresholds </w:t>
      </w:r>
      <w:proofErr w:type="gramStart"/>
      <w:r>
        <w:rPr>
          <w:rStyle w:val="normaltextrun"/>
          <w:rFonts w:ascii="Calibri" w:hAnsi="Calibri" w:cs="Calibri"/>
          <w:color w:val="4A4A4A"/>
          <w:sz w:val="21"/>
          <w:szCs w:val="21"/>
          <w:shd w:val="clear" w:color="auto" w:fill="FFFFFF"/>
        </w:rPr>
        <w:t>are</w:t>
      </w:r>
      <w:proofErr w:type="gramEnd"/>
      <w:r>
        <w:rPr>
          <w:rStyle w:val="normaltextrun"/>
          <w:rFonts w:ascii="Calibri" w:hAnsi="Calibri" w:cs="Calibri"/>
          <w:color w:val="4A4A4A"/>
          <w:sz w:val="21"/>
          <w:szCs w:val="21"/>
          <w:shd w:val="clear" w:color="auto" w:fill="FFFFFF"/>
        </w:rPr>
        <w:t> used as a proxy for hazardous work for the purpose of reporting on SDG indicator 8.7.1. Further methodological work is needed to validate questions specifically aimed at identifying children in hazardous working conditions.</w:t>
      </w:r>
      <w:r>
        <w:rPr>
          <w:rStyle w:val="eop"/>
          <w:rFonts w:ascii="Calibri" w:hAnsi="Calibri" w:cs="Calibri"/>
          <w:color w:val="4A4A4A"/>
          <w:sz w:val="21"/>
          <w:szCs w:val="21"/>
        </w:rPr>
        <w:t> </w:t>
      </w:r>
    </w:p>
    <w:p w14:paraId="1FC14256"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eop"/>
          <w:rFonts w:ascii="Calibri" w:hAnsi="Calibri" w:cs="Calibri"/>
          <w:color w:val="4A4A4A"/>
          <w:sz w:val="21"/>
          <w:szCs w:val="21"/>
        </w:rPr>
        <w:t> </w:t>
      </w:r>
    </w:p>
    <w:p w14:paraId="541A9AE8"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rPr>
        <w:t>Similarly, while the worst forms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other than hazardous also form part of the concept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more broadly, data on the worst forms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are not currently captured in regular household surveys given difficulties with accurately and reliably measuring it. Therefore, this element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is not captured by the indicators used for reporting on SDG 8.7.1.  </w:t>
      </w:r>
      <w:r>
        <w:rPr>
          <w:rStyle w:val="eop"/>
          <w:rFonts w:ascii="Calibri" w:hAnsi="Calibri" w:cs="Calibri"/>
          <w:color w:val="4A4A4A"/>
          <w:sz w:val="21"/>
          <w:szCs w:val="21"/>
        </w:rPr>
        <w:t> </w:t>
      </w:r>
    </w:p>
    <w:p w14:paraId="1BB5A2EE"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eop"/>
          <w:rFonts w:ascii="Calibri" w:hAnsi="Calibri" w:cs="Calibri"/>
          <w:color w:val="4A4A4A"/>
          <w:sz w:val="21"/>
          <w:szCs w:val="21"/>
        </w:rPr>
        <w:t> </w:t>
      </w:r>
    </w:p>
    <w:p w14:paraId="2238467A" w14:textId="2E2DF029" w:rsidR="00D379F1" w:rsidRDefault="00D379F1" w:rsidP="00947007">
      <w:pPr>
        <w:pStyle w:val="paragraph"/>
        <w:shd w:val="clear" w:color="auto" w:fill="FFFFFF"/>
        <w:spacing w:before="0" w:beforeAutospacing="0" w:after="0" w:afterAutospacing="0"/>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rPr>
        <w:t xml:space="preserve">In addition, ‘own use production of goods’, including activities such as fetching water and collecting firewood, falls within the production boundary set by the United Nations System of National Accounts (SNA). However, for the purpose of SDG reporting of indicator 8.7.1, and with the goal of facilitating international comparability, fetching </w:t>
      </w:r>
      <w:proofErr w:type="gramStart"/>
      <w:r>
        <w:rPr>
          <w:rStyle w:val="normaltextrun"/>
          <w:rFonts w:ascii="Calibri" w:hAnsi="Calibri" w:cs="Calibri"/>
          <w:color w:val="4A4A4A"/>
          <w:sz w:val="21"/>
          <w:szCs w:val="21"/>
          <w:shd w:val="clear" w:color="auto" w:fill="FFFFFF"/>
        </w:rPr>
        <w:t>water</w:t>
      </w:r>
      <w:proofErr w:type="gramEnd"/>
      <w:r>
        <w:rPr>
          <w:rStyle w:val="normaltextrun"/>
          <w:rFonts w:ascii="Calibri" w:hAnsi="Calibri" w:cs="Calibri"/>
          <w:color w:val="4A4A4A"/>
          <w:sz w:val="21"/>
          <w:szCs w:val="21"/>
          <w:shd w:val="clear" w:color="auto" w:fill="FFFFFF"/>
        </w:rPr>
        <w:t xml:space="preserve"> and collecting firewood have been classified as unpaid household services (i.e., household chores), a form of production that lies outside the SNA production boundary. </w:t>
      </w:r>
      <w:r>
        <w:rPr>
          <w:rStyle w:val="eop"/>
          <w:rFonts w:ascii="Calibri" w:hAnsi="Calibri" w:cs="Calibri"/>
          <w:color w:val="4A4A4A"/>
          <w:sz w:val="21"/>
          <w:szCs w:val="21"/>
        </w:rPr>
        <w:t> </w:t>
      </w:r>
    </w:p>
    <w:p w14:paraId="63F46AC5"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eop"/>
          <w:rFonts w:ascii="Calibri" w:hAnsi="Calibri" w:cs="Calibri"/>
          <w:color w:val="4A4A4A"/>
          <w:sz w:val="21"/>
          <w:szCs w:val="21"/>
        </w:rPr>
        <w:t> </w:t>
      </w:r>
    </w:p>
    <w:p w14:paraId="32B0E71A" w14:textId="5E69743E"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en-GB"/>
        </w:rPr>
        <w:t>More broadly, child labour estimates based on the statistical standards set out in the ICLS resolution represent useful benchmarks for international comparative purposes but are </w:t>
      </w:r>
      <w:r>
        <w:rPr>
          <w:rStyle w:val="normaltextrun"/>
          <w:rFonts w:ascii="Calibri" w:hAnsi="Calibri" w:cs="Calibri"/>
          <w:color w:val="4A4A4A"/>
          <w:sz w:val="21"/>
          <w:szCs w:val="21"/>
          <w:u w:val="single"/>
          <w:shd w:val="clear" w:color="auto" w:fill="FFFFFF"/>
          <w:lang w:val="en-GB"/>
        </w:rPr>
        <w:t>not</w:t>
      </w:r>
      <w:r>
        <w:rPr>
          <w:rStyle w:val="normaltextrun"/>
          <w:rFonts w:ascii="Calibri" w:hAnsi="Calibri" w:cs="Calibri"/>
          <w:color w:val="4A4A4A"/>
          <w:sz w:val="21"/>
          <w:szCs w:val="21"/>
          <w:shd w:val="clear" w:color="auto" w:fill="FFFFFF"/>
          <w:lang w:val="en-GB"/>
        </w:rPr>
        <w:t> necessarily consistent with estimates based on national child labour legislation. </w:t>
      </w:r>
      <w:r>
        <w:rPr>
          <w:rStyle w:val="normaltextrun"/>
          <w:rFonts w:ascii="Calibri" w:hAnsi="Calibri" w:cs="Calibri"/>
          <w:color w:val="4A4A4A"/>
          <w:sz w:val="21"/>
          <w:szCs w:val="21"/>
          <w:shd w:val="clear" w:color="auto" w:fill="FFFFFF"/>
        </w:rPr>
        <w:t xml:space="preserve">ILO Convention No. 138 contains </w:t>
      </w:r>
      <w:proofErr w:type="gramStart"/>
      <w:r>
        <w:rPr>
          <w:rStyle w:val="normaltextrun"/>
          <w:rFonts w:ascii="Calibri" w:hAnsi="Calibri" w:cs="Calibri"/>
          <w:color w:val="4A4A4A"/>
          <w:sz w:val="21"/>
          <w:szCs w:val="21"/>
          <w:shd w:val="clear" w:color="auto" w:fill="FFFFFF"/>
        </w:rPr>
        <w:t>a number of</w:t>
      </w:r>
      <w:proofErr w:type="gramEnd"/>
      <w:r>
        <w:rPr>
          <w:rStyle w:val="normaltextrun"/>
          <w:rFonts w:ascii="Calibri" w:hAnsi="Calibri" w:cs="Calibri"/>
          <w:color w:val="4A4A4A"/>
          <w:sz w:val="21"/>
          <w:szCs w:val="21"/>
          <w:shd w:val="clear" w:color="auto" w:fill="FFFFFF"/>
        </w:rPr>
        <w:t xml:space="preserve"> flexibility clauses left to the discretion of the competent national authority in consultation (where relevant) with workers’ and employers’ organizations (e.g., minimum ages, scope of application).</w:t>
      </w:r>
      <w:r w:rsidR="007A606E">
        <w:rPr>
          <w:rStyle w:val="FootnoteReference"/>
          <w:rFonts w:ascii="Calibri" w:hAnsi="Calibri" w:cs="Calibri"/>
          <w:color w:val="4A4A4A"/>
          <w:sz w:val="21"/>
          <w:szCs w:val="21"/>
          <w:shd w:val="clear" w:color="auto" w:fill="FFFFFF"/>
        </w:rPr>
        <w:footnoteReference w:id="4"/>
      </w:r>
      <w:r>
        <w:rPr>
          <w:rStyle w:val="normaltextrun"/>
          <w:rFonts w:ascii="Calibri" w:hAnsi="Calibri" w:cs="Calibri"/>
          <w:color w:val="4A4A4A"/>
          <w:sz w:val="21"/>
          <w:szCs w:val="21"/>
          <w:shd w:val="clear" w:color="auto" w:fill="FFFFFF"/>
        </w:rPr>
        <w:t> This means that there is no single legal definition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across countries, and thus, no single statistical measure of child </w:t>
      </w:r>
      <w:proofErr w:type="spellStart"/>
      <w:r>
        <w:rPr>
          <w:rStyle w:val="normaltextrun"/>
          <w:rFonts w:ascii="Calibri" w:hAnsi="Calibri" w:cs="Calibri"/>
          <w:color w:val="4A4A4A"/>
          <w:sz w:val="21"/>
          <w:szCs w:val="21"/>
          <w:shd w:val="clear" w:color="auto" w:fill="FFFFFF"/>
        </w:rPr>
        <w:t>labour</w:t>
      </w:r>
      <w:proofErr w:type="spellEnd"/>
      <w:r>
        <w:rPr>
          <w:rStyle w:val="normaltextrun"/>
          <w:rFonts w:ascii="Calibri" w:hAnsi="Calibri" w:cs="Calibri"/>
          <w:color w:val="4A4A4A"/>
          <w:sz w:val="21"/>
          <w:szCs w:val="21"/>
          <w:shd w:val="clear" w:color="auto" w:fill="FFFFFF"/>
        </w:rPr>
        <w:t> consistent with national legislation across countries.</w:t>
      </w:r>
      <w:r>
        <w:rPr>
          <w:rStyle w:val="eop"/>
          <w:rFonts w:ascii="Calibri" w:hAnsi="Calibri" w:cs="Calibri"/>
          <w:color w:val="4A4A4A"/>
          <w:sz w:val="21"/>
          <w:szCs w:val="21"/>
        </w:rPr>
        <w:t> </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705AD70F"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en-GB"/>
        </w:rPr>
        <w:t>Children aged 5-17: Number of children aged 5-17 reported in child labour during the week prior to the survey divided by the total number of children aged 5-17 in the population, multiplied by 100. </w:t>
      </w:r>
      <w:r>
        <w:rPr>
          <w:rStyle w:val="eop"/>
          <w:rFonts w:ascii="Calibri" w:hAnsi="Calibri" w:cs="Calibri"/>
          <w:color w:val="4A4A4A"/>
          <w:sz w:val="21"/>
          <w:szCs w:val="21"/>
        </w:rPr>
        <w:t> </w:t>
      </w:r>
    </w:p>
    <w:p w14:paraId="67F93F4D" w14:textId="77777777" w:rsidR="00D379F1" w:rsidRDefault="00D379F1" w:rsidP="00D379F1">
      <w:pPr>
        <w:pStyle w:val="paragraph"/>
        <w:shd w:val="clear" w:color="auto" w:fill="FFFFFF"/>
        <w:spacing w:before="0" w:beforeAutospacing="0" w:after="0" w:afterAutospacing="0"/>
        <w:textAlignment w:val="baseline"/>
        <w:rPr>
          <w:rFonts w:ascii="Segoe UI" w:hAnsi="Segoe UI" w:cs="Segoe UI"/>
          <w:color w:val="4A4A4A"/>
          <w:sz w:val="18"/>
          <w:szCs w:val="18"/>
        </w:rPr>
      </w:pPr>
      <w:r>
        <w:rPr>
          <w:rStyle w:val="eop"/>
          <w:rFonts w:ascii="Calibri" w:hAnsi="Calibri" w:cs="Calibri"/>
          <w:color w:val="4A4A4A"/>
          <w:sz w:val="21"/>
          <w:szCs w:val="21"/>
        </w:rPr>
        <w:t> </w:t>
      </w:r>
    </w:p>
    <w:p w14:paraId="5FFE59B1"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en-GB"/>
        </w:rPr>
        <w:t>Children aged 5-14: Number of children aged 5-14 reported in child labour during the week prior to the survey divided by the total number of children aged 5-14 in the population, multiplied by 100. </w:t>
      </w:r>
      <w:r>
        <w:rPr>
          <w:rStyle w:val="eop"/>
          <w:rFonts w:ascii="Calibri" w:hAnsi="Calibri" w:cs="Calibri"/>
          <w:color w:val="4A4A4A"/>
          <w:sz w:val="21"/>
          <w:szCs w:val="21"/>
        </w:rPr>
        <w:t> </w:t>
      </w:r>
    </w:p>
    <w:p w14:paraId="3BC3CAA5" w14:textId="77777777" w:rsidR="00D379F1" w:rsidRDefault="00D379F1" w:rsidP="00D379F1">
      <w:pPr>
        <w:pStyle w:val="paragraph"/>
        <w:shd w:val="clear" w:color="auto" w:fill="FFFFFF"/>
        <w:spacing w:before="0" w:beforeAutospacing="0" w:after="0" w:afterAutospacing="0"/>
        <w:textAlignment w:val="baseline"/>
        <w:rPr>
          <w:rFonts w:ascii="Segoe UI" w:hAnsi="Segoe UI" w:cs="Segoe UI"/>
          <w:color w:val="4A4A4A"/>
          <w:sz w:val="18"/>
          <w:szCs w:val="18"/>
        </w:rPr>
      </w:pPr>
      <w:r>
        <w:rPr>
          <w:rStyle w:val="eop"/>
          <w:rFonts w:ascii="Calibri" w:hAnsi="Calibri" w:cs="Calibri"/>
          <w:color w:val="4A4A4A"/>
          <w:sz w:val="21"/>
          <w:szCs w:val="21"/>
        </w:rPr>
        <w:t> </w:t>
      </w:r>
    </w:p>
    <w:p w14:paraId="6141F2A2"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en-GB"/>
        </w:rPr>
        <w:t>Children aged 15-17: Number of children aged 15-17 reported child labour during the week prior to the survey divided by the total number of children aged 15-17 in the population, multiplied by 100. </w:t>
      </w:r>
      <w:r>
        <w:rPr>
          <w:rStyle w:val="eop"/>
          <w:rFonts w:ascii="Calibri" w:hAnsi="Calibri" w:cs="Calibri"/>
          <w:color w:val="4A4A4A"/>
          <w:sz w:val="21"/>
          <w:szCs w:val="21"/>
        </w:rPr>
        <w:t> </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25C5C202" w14:textId="5713CFC8" w:rsidR="006D3D44" w:rsidRDefault="006D3D44" w:rsidP="005E716E">
      <w:pPr>
        <w:pStyle w:val="MText"/>
      </w:pPr>
      <w:r>
        <w:t xml:space="preserve">A wide consultative process is undertaken to compile, assess and validate data from national sources. </w:t>
      </w:r>
    </w:p>
    <w:p w14:paraId="11235AFD" w14:textId="31859874" w:rsidR="006D3D44" w:rsidRDefault="006D3D44" w:rsidP="006D3D44">
      <w:pPr>
        <w:pStyle w:val="MText"/>
      </w:pPr>
      <w:r>
        <w:t xml:space="preserve">The consultation process solicited feedback directly from National Statistical Offices, as well as other government agencies responsible for official statistics, on the compilation of the indicators, including the </w:t>
      </w:r>
      <w:r>
        <w:lastRenderedPageBreak/>
        <w:t xml:space="preserve">data sources used, and the application of internationally agreed definitions, classification and methodologies to the data from that source. The results of this country consultation are reviewed and discussed between the co-custodian agencies, UNICEF and ILO. Once reviewed, feedback is made available to countries on </w:t>
      </w:r>
      <w:proofErr w:type="gramStart"/>
      <w:r>
        <w:t>whether or not</w:t>
      </w:r>
      <w:proofErr w:type="gramEnd"/>
      <w:r>
        <w:t xml:space="preserve"> specific data points are accepted, and if not, the reasons why. </w:t>
      </w:r>
    </w:p>
    <w:p w14:paraId="0025F830" w14:textId="37584881" w:rsidR="00F719A8" w:rsidRPr="004A5024"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424CAB78" w14:textId="77777777" w:rsidR="006D3D44" w:rsidRDefault="006D3D44" w:rsidP="005E716E">
      <w:pPr>
        <w:pStyle w:val="MText"/>
      </w:pPr>
      <w:r>
        <w:t>While the concept of child labour includes working in activities that are hazardous in nature, to ensure</w:t>
      </w:r>
    </w:p>
    <w:p w14:paraId="5D4EAC13" w14:textId="6BFAC1A2" w:rsidR="006D3D44" w:rsidRDefault="006D3D44" w:rsidP="006D3D44">
      <w:pPr>
        <w:pStyle w:val="MText"/>
      </w:pPr>
      <w:r>
        <w:t xml:space="preserve">comparability of estimates over time and to minimize data quality issues, work beyond age-specific hourly thresholds </w:t>
      </w:r>
      <w:proofErr w:type="gramStart"/>
      <w:r>
        <w:t>are</w:t>
      </w:r>
      <w:proofErr w:type="gramEnd"/>
      <w:r>
        <w:t xml:space="preserve"> used as a proxy for hazardous work for the purpose of reporting on SDG indicator 8.7.1. </w:t>
      </w:r>
      <w:r w:rsidR="00147A2B">
        <w:t xml:space="preserve"> </w:t>
      </w:r>
      <w:r>
        <w:t>Similarly, while the worst forms of child labour other than hazardous also form part of the concept of child</w:t>
      </w:r>
      <w:r w:rsidR="00147A2B">
        <w:t xml:space="preserve"> </w:t>
      </w:r>
      <w:r>
        <w:t>labour more broadly, data on the worst forms of child labour are not currently captured in regular household</w:t>
      </w:r>
      <w:r w:rsidR="00147A2B">
        <w:t xml:space="preserve"> </w:t>
      </w:r>
      <w:r>
        <w:t>surveys given difficulties with accurately and reliably measuring it. Therefore, this element of child labour is not</w:t>
      </w:r>
      <w:r w:rsidR="00147A2B">
        <w:t xml:space="preserve"> </w:t>
      </w:r>
      <w:r>
        <w:t>captured by the indicators used for reporting on SDG 8.7.1.</w:t>
      </w:r>
      <w:r w:rsidR="00147A2B">
        <w:t xml:space="preserve"> </w:t>
      </w:r>
      <w:r>
        <w:t>In addition, ‘own use production of goods’, including activities such as fetching water and collecting firewood,</w:t>
      </w:r>
    </w:p>
    <w:p w14:paraId="44FE2204" w14:textId="6D3661B2" w:rsidR="006D3D44" w:rsidRPr="00A96255" w:rsidRDefault="006D3D44" w:rsidP="006D3D44">
      <w:pPr>
        <w:pStyle w:val="MText"/>
      </w:pPr>
      <w:r>
        <w:t>falls within the production boundary set by the United Nations System of National Accounts (SNA). However, for</w:t>
      </w:r>
      <w:r w:rsidR="00147A2B">
        <w:t xml:space="preserve"> </w:t>
      </w:r>
      <w:r>
        <w:t>the purpose of SDG reporting of indicator 8.7.1, and with the goal of facilitating international comparability,</w:t>
      </w:r>
      <w:r w:rsidR="00147A2B">
        <w:t xml:space="preserve"> </w:t>
      </w:r>
      <w:r>
        <w:t>fetching water and collecting firewood have been classified as unpaid household services (i.e., household</w:t>
      </w:r>
      <w:r w:rsidR="00147A2B">
        <w:t xml:space="preserve"> </w:t>
      </w:r>
      <w:r>
        <w:t>chores), a form of production that lies outside the SNA production boundary.</w:t>
      </w:r>
    </w:p>
    <w:p w14:paraId="6C2FF14C" w14:textId="534B992B" w:rsidR="00D379F1" w:rsidRPr="00A96255" w:rsidRDefault="00D379F1" w:rsidP="00576CFA">
      <w:pPr>
        <w:pStyle w:val="MText"/>
      </w:pPr>
    </w:p>
    <w:p w14:paraId="17735630" w14:textId="3387C27D" w:rsidR="00E1050F" w:rsidRPr="00A96255" w:rsidRDefault="00576CFA" w:rsidP="00F719A8">
      <w:pPr>
        <w:pStyle w:val="MHeader2"/>
      </w:pPr>
      <w:r w:rsidRPr="00A96255">
        <w:t xml:space="preserve">4.f. Treatment of missing values (i) at country level and (ii) at regional level </w:t>
      </w:r>
      <w:r>
        <w:rPr>
          <w:color w:val="B4B4B4"/>
          <w:sz w:val="20"/>
        </w:rPr>
        <w:t>(IMPUTATION)</w:t>
      </w:r>
    </w:p>
    <w:p w14:paraId="338DCEF4" w14:textId="77777777" w:rsidR="00D379F1" w:rsidRPr="00875961" w:rsidRDefault="00D379F1" w:rsidP="00A0125E">
      <w:pPr>
        <w:pStyle w:val="paragraph"/>
        <w:numPr>
          <w:ilvl w:val="0"/>
          <w:numId w:val="5"/>
        </w:numPr>
        <w:shd w:val="clear" w:color="auto" w:fill="FFFFFF" w:themeFill="background1"/>
        <w:spacing w:before="0" w:beforeAutospacing="0" w:after="0" w:afterAutospacing="0"/>
        <w:ind w:left="135" w:firstLine="0"/>
        <w:textAlignment w:val="baseline"/>
        <w:rPr>
          <w:color w:val="404040" w:themeColor="text1" w:themeTint="BF"/>
          <w:sz w:val="21"/>
          <w:szCs w:val="21"/>
        </w:rPr>
      </w:pPr>
      <w:r w:rsidRPr="00875961">
        <w:rPr>
          <w:rStyle w:val="normaltextrun"/>
          <w:rFonts w:ascii="Calibri" w:hAnsi="Calibri"/>
          <w:b/>
          <w:color w:val="404040" w:themeColor="text1" w:themeTint="BF"/>
          <w:sz w:val="21"/>
          <w:lang w:val="it-IT"/>
        </w:rPr>
        <w:t>At country level</w:t>
      </w:r>
      <w:r w:rsidRPr="00875961">
        <w:rPr>
          <w:rStyle w:val="eop"/>
          <w:rFonts w:ascii="Calibri" w:hAnsi="Calibri"/>
          <w:b/>
          <w:color w:val="404040" w:themeColor="text1" w:themeTint="BF"/>
          <w:sz w:val="21"/>
        </w:rPr>
        <w:t> </w:t>
      </w:r>
    </w:p>
    <w:p w14:paraId="2D94F35E" w14:textId="77777777" w:rsidR="00D379F1" w:rsidRDefault="00D379F1" w:rsidP="00D379F1">
      <w:pPr>
        <w:pStyle w:val="paragraph"/>
        <w:shd w:val="clear" w:color="auto" w:fill="FFFFFF"/>
        <w:spacing w:before="0" w:beforeAutospacing="0" w:after="0" w:afterAutospacing="0"/>
        <w:ind w:left="495"/>
        <w:textAlignment w:val="baseline"/>
        <w:rPr>
          <w:sz w:val="21"/>
          <w:szCs w:val="21"/>
        </w:rPr>
      </w:pPr>
      <w:r>
        <w:rPr>
          <w:rStyle w:val="normaltextrun"/>
          <w:rFonts w:ascii="Calibri" w:hAnsi="Calibri" w:cs="Calibri"/>
          <w:color w:val="4A4A4A"/>
          <w:sz w:val="21"/>
          <w:szCs w:val="21"/>
        </w:rPr>
        <w:t>Country data are not published when data for a country are entirely missing</w:t>
      </w:r>
      <w:r>
        <w:rPr>
          <w:rStyle w:val="normaltextrun"/>
          <w:color w:val="4A4A4A"/>
          <w:sz w:val="21"/>
          <w:szCs w:val="21"/>
        </w:rPr>
        <w:t>.</w:t>
      </w:r>
      <w:r>
        <w:rPr>
          <w:rStyle w:val="eop"/>
          <w:color w:val="4A4A4A"/>
          <w:sz w:val="21"/>
          <w:szCs w:val="21"/>
        </w:rPr>
        <w:t> </w:t>
      </w:r>
    </w:p>
    <w:p w14:paraId="46492E85" w14:textId="77777777" w:rsidR="00D379F1" w:rsidRDefault="00D379F1" w:rsidP="00D379F1">
      <w:pPr>
        <w:pStyle w:val="paragraph"/>
        <w:shd w:val="clear" w:color="auto" w:fill="FFFFFF"/>
        <w:spacing w:before="0" w:beforeAutospacing="0" w:after="0" w:afterAutospacing="0"/>
        <w:ind w:left="495"/>
        <w:textAlignment w:val="baseline"/>
        <w:rPr>
          <w:sz w:val="21"/>
          <w:szCs w:val="21"/>
        </w:rPr>
      </w:pPr>
      <w:r>
        <w:rPr>
          <w:rStyle w:val="eop"/>
          <w:color w:val="4A4A4A"/>
          <w:sz w:val="21"/>
          <w:szCs w:val="21"/>
        </w:rPr>
        <w:t> </w:t>
      </w:r>
    </w:p>
    <w:p w14:paraId="008A8833" w14:textId="77777777" w:rsidR="00D379F1" w:rsidRPr="00875961" w:rsidRDefault="00D379F1" w:rsidP="00A0125E">
      <w:pPr>
        <w:pStyle w:val="paragraph"/>
        <w:numPr>
          <w:ilvl w:val="0"/>
          <w:numId w:val="6"/>
        </w:numPr>
        <w:shd w:val="clear" w:color="auto" w:fill="FFFFFF" w:themeFill="background1"/>
        <w:spacing w:before="0" w:beforeAutospacing="0" w:after="0" w:afterAutospacing="0"/>
        <w:ind w:left="135" w:firstLine="0"/>
        <w:textAlignment w:val="baseline"/>
        <w:rPr>
          <w:color w:val="404040" w:themeColor="text1" w:themeTint="BF"/>
          <w:sz w:val="21"/>
          <w:szCs w:val="21"/>
        </w:rPr>
      </w:pPr>
      <w:r w:rsidRPr="00875961">
        <w:rPr>
          <w:rStyle w:val="normaltextrun"/>
          <w:rFonts w:ascii="Calibri" w:hAnsi="Calibri"/>
          <w:b/>
          <w:color w:val="404040" w:themeColor="text1" w:themeTint="BF"/>
          <w:sz w:val="21"/>
          <w:lang w:val="it-IT"/>
        </w:rPr>
        <w:t>At regional and global levels</w:t>
      </w:r>
      <w:r w:rsidRPr="00875961">
        <w:rPr>
          <w:rStyle w:val="eop"/>
          <w:rFonts w:ascii="Calibri" w:hAnsi="Calibri"/>
          <w:b/>
          <w:color w:val="404040" w:themeColor="text1" w:themeTint="BF"/>
          <w:sz w:val="21"/>
        </w:rPr>
        <w:t> </w:t>
      </w:r>
    </w:p>
    <w:p w14:paraId="3B6745B9" w14:textId="3EE96F44" w:rsidR="0053780D" w:rsidRPr="0053780D" w:rsidRDefault="0053780D" w:rsidP="007B6CDE">
      <w:pPr>
        <w:pStyle w:val="paragraph"/>
        <w:spacing w:before="0" w:beforeAutospacing="0" w:after="0" w:afterAutospacing="0" w:line="276" w:lineRule="auto"/>
        <w:ind w:left="490"/>
        <w:textAlignment w:val="baseline"/>
        <w:rPr>
          <w:rFonts w:ascii="Calibri" w:hAnsi="Calibri" w:cs="Calibri"/>
          <w:color w:val="4A4A4A"/>
          <w:sz w:val="21"/>
          <w:szCs w:val="21"/>
        </w:rPr>
      </w:pPr>
      <w:r>
        <w:rPr>
          <w:rStyle w:val="normaltextrun"/>
          <w:rFonts w:ascii="Calibri" w:hAnsi="Calibri" w:cs="Calibri"/>
          <w:color w:val="4A4A4A"/>
          <w:sz w:val="21"/>
          <w:szCs w:val="21"/>
        </w:rPr>
        <w:t>For details on t</w:t>
      </w:r>
      <w:r w:rsidR="00D379F1">
        <w:rPr>
          <w:rStyle w:val="normaltextrun"/>
          <w:rFonts w:ascii="Calibri" w:hAnsi="Calibri" w:cs="Calibri"/>
          <w:color w:val="4A4A4A"/>
          <w:sz w:val="21"/>
          <w:szCs w:val="21"/>
        </w:rPr>
        <w:t xml:space="preserve">he methodology for </w:t>
      </w:r>
      <w:r>
        <w:rPr>
          <w:rStyle w:val="normaltextrun"/>
          <w:rFonts w:ascii="Calibri" w:hAnsi="Calibri" w:cs="Calibri"/>
          <w:color w:val="4A4A4A"/>
          <w:sz w:val="21"/>
          <w:szCs w:val="21"/>
        </w:rPr>
        <w:t>treatment of missing data in the calculation</w:t>
      </w:r>
      <w:r w:rsidR="00D379F1">
        <w:rPr>
          <w:rStyle w:val="normaltextrun"/>
          <w:rFonts w:ascii="Calibri" w:hAnsi="Calibri" w:cs="Calibri"/>
          <w:color w:val="4A4A4A"/>
          <w:sz w:val="21"/>
          <w:szCs w:val="21"/>
        </w:rPr>
        <w:t xml:space="preserve"> of regional and global aggregates </w:t>
      </w:r>
      <w:r>
        <w:rPr>
          <w:rStyle w:val="normaltextrun"/>
          <w:rFonts w:ascii="Calibri" w:hAnsi="Calibri" w:cs="Calibri"/>
          <w:color w:val="4A4A4A"/>
          <w:sz w:val="21"/>
          <w:szCs w:val="21"/>
        </w:rPr>
        <w:t xml:space="preserve">see, </w:t>
      </w:r>
      <w:hyperlink r:id="rId11" w:history="1">
        <w:r w:rsidRPr="0053780D">
          <w:rPr>
            <w:rStyle w:val="Hyperlink"/>
            <w:rFonts w:ascii="Calibri" w:hAnsi="Calibri" w:cs="Calibri"/>
            <w:sz w:val="21"/>
            <w:szCs w:val="21"/>
          </w:rPr>
          <w:t xml:space="preserve">Child </w:t>
        </w:r>
        <w:proofErr w:type="spellStart"/>
        <w:r w:rsidRPr="0053780D">
          <w:rPr>
            <w:rStyle w:val="Hyperlink"/>
            <w:rFonts w:ascii="Calibri" w:hAnsi="Calibri" w:cs="Calibri"/>
            <w:sz w:val="21"/>
            <w:szCs w:val="21"/>
          </w:rPr>
          <w:t>Labour</w:t>
        </w:r>
        <w:proofErr w:type="spellEnd"/>
        <w:r w:rsidRPr="0053780D">
          <w:rPr>
            <w:rStyle w:val="Hyperlink"/>
            <w:rFonts w:ascii="Calibri" w:hAnsi="Calibri" w:cs="Calibri"/>
            <w:sz w:val="21"/>
            <w:szCs w:val="21"/>
          </w:rPr>
          <w:t>: Global estimates 2020, trends and the road forward</w:t>
        </w:r>
      </w:hyperlink>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Regional aggregations </w:t>
      </w:r>
      <w:r>
        <w:rPr>
          <w:color w:val="B4B4B4"/>
          <w:sz w:val="20"/>
        </w:rPr>
        <w:t>(REG_AGG)</w:t>
      </w:r>
    </w:p>
    <w:p w14:paraId="2EA010B7" w14:textId="3C0DB321" w:rsidR="00EC2915" w:rsidRDefault="0053780D" w:rsidP="00576CFA">
      <w:pPr>
        <w:pStyle w:val="MText"/>
        <w:rPr>
          <w:rStyle w:val="eop"/>
          <w:rFonts w:ascii="Calibri" w:hAnsi="Calibri" w:cs="Calibri"/>
        </w:rPr>
      </w:pPr>
      <w:r>
        <w:rPr>
          <w:rStyle w:val="normaltextrun"/>
          <w:rFonts w:ascii="Calibri" w:hAnsi="Calibri" w:cs="Calibri"/>
          <w:shd w:val="clear" w:color="auto" w:fill="FFFFFF"/>
        </w:rPr>
        <w:t>For details on t</w:t>
      </w:r>
      <w:r w:rsidR="00D379F1">
        <w:rPr>
          <w:rStyle w:val="normaltextrun"/>
          <w:rFonts w:ascii="Calibri" w:hAnsi="Calibri" w:cs="Calibri"/>
          <w:shd w:val="clear" w:color="auto" w:fill="FFFFFF"/>
        </w:rPr>
        <w:t>he methodology for calculation of regional aggregates</w:t>
      </w:r>
      <w:r>
        <w:rPr>
          <w:rStyle w:val="normaltextrun"/>
          <w:rFonts w:ascii="Calibri" w:hAnsi="Calibri" w:cs="Calibri"/>
          <w:shd w:val="clear" w:color="auto" w:fill="FFFFFF"/>
        </w:rPr>
        <w:t>, see</w:t>
      </w:r>
      <w:r w:rsidR="00D379F1">
        <w:rPr>
          <w:rStyle w:val="normaltextrun"/>
          <w:rFonts w:ascii="Calibri" w:hAnsi="Calibri" w:cs="Calibri"/>
          <w:shd w:val="clear" w:color="auto" w:fill="FFFFFF"/>
        </w:rPr>
        <w:t xml:space="preserve"> </w:t>
      </w:r>
      <w:hyperlink r:id="rId12" w:history="1">
        <w:r w:rsidRPr="0053780D">
          <w:rPr>
            <w:rStyle w:val="Hyperlink"/>
            <w:rFonts w:ascii="Calibri" w:hAnsi="Calibri" w:cs="Calibri"/>
          </w:rPr>
          <w:t>Child Labour: Global estimates 2020, trends and the road forward</w:t>
        </w:r>
      </w:hyperlink>
      <w:r w:rsidR="00D379F1">
        <w:rPr>
          <w:rStyle w:val="eop"/>
          <w:rFonts w:ascii="Calibri" w:hAnsi="Calibri" w:cs="Calibri"/>
        </w:rPr>
        <w:t> </w:t>
      </w:r>
    </w:p>
    <w:p w14:paraId="7FF9F2B9" w14:textId="77777777" w:rsidR="00D379F1" w:rsidRPr="00A96255" w:rsidRDefault="00D379F1"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2939895F" w14:textId="3981C59A" w:rsidR="00EC2915" w:rsidRDefault="000D2A58" w:rsidP="00576CFA">
      <w:pPr>
        <w:pStyle w:val="MText"/>
        <w:rPr>
          <w:rStyle w:val="eop"/>
          <w:rFonts w:ascii="Calibri" w:hAnsi="Calibri" w:cs="Calibri"/>
        </w:rPr>
      </w:pPr>
      <w:r>
        <w:rPr>
          <w:rStyle w:val="normaltextrun"/>
          <w:rFonts w:ascii="Calibri" w:hAnsi="Calibri" w:cs="Calibri"/>
        </w:rPr>
        <w:t xml:space="preserve">See Section 3.a. </w:t>
      </w:r>
    </w:p>
    <w:p w14:paraId="1CD6413C" w14:textId="77777777" w:rsidR="00D379F1" w:rsidRPr="00A96255" w:rsidRDefault="00D379F1"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44A3AEA4" w14:textId="14776DA0" w:rsidR="002F59A7" w:rsidRPr="00A96255" w:rsidRDefault="002F59A7" w:rsidP="00AC4750">
      <w:pPr>
        <w:pStyle w:val="MText"/>
      </w:pPr>
      <w:r>
        <w:t xml:space="preserve">The process behind the production of reliable statistics on child labour is well established within UNICEF and the ILO. </w:t>
      </w:r>
      <w:r w:rsidR="000626E4">
        <w:t xml:space="preserve">The quality and process leading to the production of the SDG indicator 8.7.1 is ensured by working closely with the statistical offices and other relevant stakeholders through a consultative process. </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lastRenderedPageBreak/>
        <w:t xml:space="preserve">4.j Quality assurance </w:t>
      </w:r>
      <w:r>
        <w:rPr>
          <w:color w:val="B4B4B4"/>
          <w:sz w:val="20"/>
        </w:rPr>
        <w:t>(QUALITY_ASSURE)</w:t>
      </w:r>
    </w:p>
    <w:p w14:paraId="79FDE119" w14:textId="536A7B09"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rPr>
        <w:t>UNICEF and ILO maintain the global database on child </w:t>
      </w:r>
      <w:proofErr w:type="spellStart"/>
      <w:r>
        <w:rPr>
          <w:rStyle w:val="normaltextrun"/>
          <w:rFonts w:ascii="Calibri" w:hAnsi="Calibri" w:cs="Calibri"/>
          <w:color w:val="4A4A4A"/>
          <w:sz w:val="21"/>
          <w:szCs w:val="21"/>
        </w:rPr>
        <w:t>labour</w:t>
      </w:r>
      <w:proofErr w:type="spellEnd"/>
      <w:r>
        <w:rPr>
          <w:rStyle w:val="normaltextrun"/>
          <w:rFonts w:ascii="Calibri" w:hAnsi="Calibri" w:cs="Calibri"/>
          <w:color w:val="4A4A4A"/>
          <w:sz w:val="21"/>
          <w:szCs w:val="21"/>
        </w:rPr>
        <w:t> that is used for official SDG reporting. Before the inclusion of any data point in the database, it is reviewed by technical focal points at UNICEF and ILO to check for consistency and overall data quality. This review is based on a set of objective criteria to ensure that only the most recent and reliable information are included in the databases. These criteria include the following: data sources must include proper documentation; data values must be representative at the national population level; data are collected using an appropriate methodology (e.g., sampling); data values are based on a sufficiently large sample; data conform to the standard indicator definition including age group and concepts, to the extent possible; data are plausible</w:t>
      </w:r>
      <w:r w:rsidR="00BC6F2D">
        <w:rPr>
          <w:rStyle w:val="normaltextrun"/>
          <w:rFonts w:ascii="Calibri" w:hAnsi="Calibri" w:cs="Calibri"/>
          <w:color w:val="4A4A4A"/>
          <w:sz w:val="21"/>
          <w:szCs w:val="21"/>
        </w:rPr>
        <w:t>,</w:t>
      </w:r>
      <w:r>
        <w:rPr>
          <w:rStyle w:val="normaltextrun"/>
          <w:rFonts w:ascii="Calibri" w:hAnsi="Calibri" w:cs="Calibri"/>
          <w:color w:val="4A4A4A"/>
          <w:sz w:val="21"/>
          <w:szCs w:val="21"/>
        </w:rPr>
        <w:t xml:space="preserve"> based on trends and consistency with previously published/reported estimates for the indicator. </w:t>
      </w:r>
      <w:r>
        <w:rPr>
          <w:rStyle w:val="eop"/>
          <w:rFonts w:ascii="Calibri" w:hAnsi="Calibri" w:cs="Calibri"/>
          <w:color w:val="4A4A4A"/>
          <w:sz w:val="21"/>
          <w:szCs w:val="21"/>
        </w:rPr>
        <w:t> </w:t>
      </w:r>
    </w:p>
    <w:p w14:paraId="1BB18102"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eop"/>
          <w:color w:val="4A4A4A"/>
          <w:sz w:val="21"/>
          <w:szCs w:val="21"/>
        </w:rPr>
        <w:t> </w:t>
      </w:r>
    </w:p>
    <w:p w14:paraId="03AEE633" w14:textId="77777777" w:rsidR="00D379F1" w:rsidRDefault="00D379F1" w:rsidP="004A5024">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rPr>
        <w:t>As of 2018, UNICEF undertakes an annual consultation with government authorities on 10 of the child-related SDG indicators in its role of sole or joint custodian, and in line with its global monitoring mandate and normative commitments to advancing the 2030 Agenda for children. This includes indicator 8.7.1. More details on the process for the country consultation are outlined below. </w:t>
      </w:r>
      <w:r>
        <w:rPr>
          <w:rStyle w:val="eop"/>
          <w:rFonts w:ascii="Calibri" w:hAnsi="Calibri" w:cs="Calibri"/>
          <w:color w:val="4A4A4A"/>
          <w:sz w:val="21"/>
          <w:szCs w:val="21"/>
        </w:rPr>
        <w:t> </w:t>
      </w:r>
    </w:p>
    <w:p w14:paraId="295EF4DC" w14:textId="685D9034" w:rsidR="00D379F1" w:rsidRPr="00A96255" w:rsidRDefault="00D379F1"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694AD14A" w14:textId="2E3057DE" w:rsidR="008169AC" w:rsidRPr="00A96255" w:rsidRDefault="007913EB" w:rsidP="005E716E">
      <w:pPr>
        <w:pStyle w:val="MText"/>
      </w:pPr>
      <w:r w:rsidRPr="007913EB">
        <w:t>Data consistency and quality checks are regularly conducted for validation of the data before dissemination</w:t>
      </w:r>
      <w:r w:rsidR="00257552">
        <w:t>.</w:t>
      </w:r>
      <w:r w:rsidRPr="007913EB">
        <w:t xml:space="preserve"> </w:t>
      </w:r>
    </w:p>
    <w:p w14:paraId="5B7C52CE" w14:textId="07AB553F" w:rsidR="00576CFA" w:rsidRPr="00A96255" w:rsidRDefault="00576CFA" w:rsidP="00576CFA">
      <w:pPr>
        <w:pStyle w:val="MText"/>
      </w:pPr>
    </w:p>
    <w:p w14:paraId="4CD8F3EF" w14:textId="02B1588F" w:rsidR="00F719A8" w:rsidRPr="00113729" w:rsidRDefault="00576CFA" w:rsidP="00113729">
      <w:pPr>
        <w:pStyle w:val="MHeader"/>
        <w:spacing w:after="100"/>
      </w:pPr>
      <w:r w:rsidRPr="00A96255">
        <w:t xml:space="preserve">5. Data availability and disaggregation </w:t>
      </w:r>
      <w:r>
        <w:rPr>
          <w:color w:val="B4B4B4"/>
          <w:sz w:val="20"/>
        </w:rPr>
        <w:t>(COVERAGE)</w:t>
      </w:r>
    </w:p>
    <w:p w14:paraId="464A8CCF" w14:textId="632DA280" w:rsidR="00576CFA" w:rsidRPr="004A5024" w:rsidRDefault="00D51E7C" w:rsidP="00257552">
      <w:pPr>
        <w:pStyle w:val="MText"/>
      </w:pPr>
      <w:r w:rsidRPr="00A0125E">
        <w:rPr>
          <w:b/>
        </w:rPr>
        <w:t>Data availability:</w:t>
      </w:r>
    </w:p>
    <w:p w14:paraId="445EEAF5" w14:textId="42866CBA" w:rsidR="00113729" w:rsidRDefault="00113729" w:rsidP="004A5024">
      <w:pPr>
        <w:pStyle w:val="paragraph"/>
        <w:shd w:val="clear" w:color="auto" w:fill="FFFFFF"/>
        <w:spacing w:before="0" w:beforeAutospacing="0" w:after="0" w:afterAutospacing="0" w:line="276" w:lineRule="auto"/>
        <w:textAlignment w:val="baseline"/>
        <w:rPr>
          <w:rFonts w:ascii="Segoe UI" w:hAnsi="Segoe UI" w:cs="Segoe UI"/>
          <w:color w:val="4A4A4A"/>
          <w:sz w:val="18"/>
          <w:szCs w:val="18"/>
        </w:rPr>
      </w:pPr>
      <w:r>
        <w:rPr>
          <w:rStyle w:val="normaltextrun"/>
          <w:rFonts w:ascii="Calibri" w:hAnsi="Calibri" w:cs="Calibri"/>
          <w:color w:val="4A4A4A"/>
          <w:sz w:val="21"/>
          <w:szCs w:val="21"/>
          <w:shd w:val="clear" w:color="auto" w:fill="FFFFFF"/>
          <w:lang w:val="en-GB"/>
        </w:rPr>
        <w:t xml:space="preserve">Nationally representative and comparable data are currently available for around </w:t>
      </w:r>
      <w:r w:rsidR="006D39A9">
        <w:rPr>
          <w:rStyle w:val="normaltextrun"/>
          <w:rFonts w:ascii="Calibri" w:hAnsi="Calibri" w:cs="Calibri"/>
          <w:color w:val="4A4A4A"/>
          <w:sz w:val="21"/>
          <w:szCs w:val="21"/>
          <w:shd w:val="clear" w:color="auto" w:fill="FFFFFF"/>
          <w:lang w:val="en-GB"/>
        </w:rPr>
        <w:t>100</w:t>
      </w:r>
      <w:r>
        <w:rPr>
          <w:rStyle w:val="normaltextrun"/>
          <w:rFonts w:ascii="Calibri" w:hAnsi="Calibri" w:cs="Calibri"/>
          <w:color w:val="4A4A4A"/>
          <w:sz w:val="21"/>
          <w:szCs w:val="21"/>
          <w:shd w:val="clear" w:color="auto" w:fill="FFFFFF"/>
          <w:lang w:val="en-GB"/>
        </w:rPr>
        <w:t> low-and middle-income countries.</w:t>
      </w:r>
      <w:r>
        <w:rPr>
          <w:rStyle w:val="eop"/>
          <w:rFonts w:ascii="Calibri" w:hAnsi="Calibri" w:cs="Calibri"/>
          <w:color w:val="4A4A4A"/>
          <w:sz w:val="21"/>
          <w:szCs w:val="21"/>
        </w:rPr>
        <w:t> </w:t>
      </w:r>
    </w:p>
    <w:p w14:paraId="2D0542F7" w14:textId="330BFC43" w:rsidR="00D51E7C" w:rsidRPr="00C019E5" w:rsidRDefault="00D51E7C" w:rsidP="00576CFA">
      <w:pPr>
        <w:pStyle w:val="MText"/>
        <w:rPr>
          <w:highlight w:val="cyan"/>
        </w:rPr>
      </w:pPr>
    </w:p>
    <w:p w14:paraId="5853D6F7" w14:textId="45C8C3F8" w:rsidR="00D51E7C" w:rsidRPr="004A5024" w:rsidRDefault="00D51E7C" w:rsidP="00576CFA">
      <w:pPr>
        <w:pStyle w:val="MText"/>
      </w:pPr>
      <w:r w:rsidRPr="00A0125E">
        <w:rPr>
          <w:b/>
        </w:rPr>
        <w:t>Time series:</w:t>
      </w:r>
    </w:p>
    <w:p w14:paraId="4212CECB" w14:textId="4098E06F" w:rsidR="00113729" w:rsidRPr="00C019E5" w:rsidRDefault="00113729" w:rsidP="00576CFA">
      <w:pPr>
        <w:pStyle w:val="MText"/>
        <w:rPr>
          <w:highlight w:val="cyan"/>
        </w:rPr>
      </w:pPr>
      <w:r>
        <w:rPr>
          <w:rStyle w:val="normaltextrun"/>
          <w:rFonts w:ascii="Calibri" w:hAnsi="Calibri" w:cs="Calibri"/>
          <w:shd w:val="clear" w:color="auto" w:fill="FFFFFF"/>
        </w:rPr>
        <w:t>Not available.</w:t>
      </w:r>
      <w:r>
        <w:rPr>
          <w:rStyle w:val="eop"/>
          <w:rFonts w:ascii="Calibri" w:hAnsi="Calibri" w:cs="Calibri"/>
        </w:rPr>
        <w:t> </w:t>
      </w:r>
    </w:p>
    <w:p w14:paraId="760C013A" w14:textId="4597FCBD" w:rsidR="00D51E7C" w:rsidRPr="00C019E5" w:rsidRDefault="00D51E7C" w:rsidP="00576CFA">
      <w:pPr>
        <w:pStyle w:val="MText"/>
        <w:rPr>
          <w:highlight w:val="cyan"/>
        </w:rPr>
      </w:pPr>
    </w:p>
    <w:p w14:paraId="72C7C370" w14:textId="2DCE1FFE" w:rsidR="00D51E7C" w:rsidRPr="004A5024" w:rsidRDefault="00D51E7C" w:rsidP="00576CFA">
      <w:pPr>
        <w:pStyle w:val="MText"/>
      </w:pPr>
      <w:r w:rsidRPr="00A0125E">
        <w:rPr>
          <w:b/>
        </w:rPr>
        <w:t>Disaggregation:</w:t>
      </w:r>
    </w:p>
    <w:p w14:paraId="57AE197B" w14:textId="3A05F5DC" w:rsidR="00D379F1" w:rsidRDefault="00D379F1" w:rsidP="00576CFA">
      <w:pPr>
        <w:pStyle w:val="MText"/>
      </w:pPr>
      <w:r>
        <w:rPr>
          <w:rStyle w:val="normaltextrun"/>
          <w:rFonts w:ascii="Calibri" w:hAnsi="Calibri" w:cs="Calibri"/>
          <w:shd w:val="clear" w:color="auto" w:fill="FFFFFF"/>
        </w:rPr>
        <w:t>Sex. </w:t>
      </w:r>
      <w:r>
        <w:rPr>
          <w:rStyle w:val="eop"/>
          <w:rFonts w:ascii="Calibri" w:hAnsi="Calibri" w:cs="Calibri"/>
        </w:rPr>
        <w:t> </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6C441ACA" w14:textId="77777777" w:rsidR="00D379F1" w:rsidRDefault="00D379F1" w:rsidP="00D379F1">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Calibri" w:hAnsi="Calibri" w:cs="Calibri"/>
          <w:b/>
          <w:bCs/>
          <w:color w:val="4A4A4A"/>
          <w:sz w:val="21"/>
          <w:szCs w:val="21"/>
        </w:rPr>
        <w:t>Sources of discrepancies:</w:t>
      </w:r>
      <w:r>
        <w:rPr>
          <w:rStyle w:val="eop"/>
          <w:rFonts w:ascii="Calibri" w:hAnsi="Calibri" w:cs="Calibri"/>
          <w:color w:val="4A4A4A"/>
          <w:sz w:val="21"/>
          <w:szCs w:val="21"/>
        </w:rPr>
        <w:t> </w:t>
      </w:r>
    </w:p>
    <w:p w14:paraId="10F832F4" w14:textId="77777777" w:rsidR="00D379F1" w:rsidRDefault="00D379F1" w:rsidP="00E97954">
      <w:pPr>
        <w:pStyle w:val="paragraph"/>
        <w:shd w:val="clear" w:color="auto" w:fill="FFFFFF"/>
        <w:spacing w:before="0" w:beforeAutospacing="0" w:after="0" w:afterAutospacing="0" w:line="276" w:lineRule="auto"/>
        <w:textAlignment w:val="baseline"/>
        <w:rPr>
          <w:rFonts w:ascii="Segoe UI" w:hAnsi="Segoe UI" w:cs="Segoe UI"/>
          <w:sz w:val="18"/>
          <w:szCs w:val="18"/>
        </w:rPr>
      </w:pPr>
      <w:r>
        <w:rPr>
          <w:rStyle w:val="normaltextrun"/>
          <w:rFonts w:ascii="Calibri" w:hAnsi="Calibri" w:cs="Calibri"/>
          <w:color w:val="4A4A4A"/>
          <w:sz w:val="21"/>
          <w:szCs w:val="21"/>
        </w:rPr>
        <w:t>The country estimates compiled</w:t>
      </w:r>
      <w:r>
        <w:rPr>
          <w:rStyle w:val="normaltextrun"/>
          <w:color w:val="4A4A4A"/>
          <w:sz w:val="21"/>
          <w:szCs w:val="21"/>
        </w:rPr>
        <w:t> </w:t>
      </w:r>
      <w:r>
        <w:rPr>
          <w:rStyle w:val="normaltextrun"/>
          <w:rFonts w:ascii="Calibri" w:hAnsi="Calibri" w:cs="Calibri"/>
          <w:color w:val="4A4A4A"/>
          <w:sz w:val="21"/>
          <w:szCs w:val="21"/>
        </w:rPr>
        <w:t>and presented in the global SDG database have been re-analyzed by UNICEF and ILO</w:t>
      </w:r>
      <w:r>
        <w:rPr>
          <w:rStyle w:val="normaltextrun"/>
          <w:color w:val="4A4A4A"/>
          <w:sz w:val="21"/>
          <w:szCs w:val="21"/>
        </w:rPr>
        <w:t> </w:t>
      </w:r>
      <w:r>
        <w:rPr>
          <w:rStyle w:val="normaltextrun"/>
          <w:rFonts w:ascii="Calibri" w:hAnsi="Calibri" w:cs="Calibri"/>
          <w:color w:val="4A4A4A"/>
          <w:sz w:val="21"/>
          <w:szCs w:val="21"/>
        </w:rPr>
        <w:t>in accordance with the definitions and criteria detailed above (see ‘Concepts’)</w:t>
      </w:r>
      <w:r>
        <w:rPr>
          <w:rStyle w:val="normaltextrun"/>
          <w:color w:val="4A4A4A"/>
          <w:sz w:val="21"/>
          <w:szCs w:val="21"/>
        </w:rPr>
        <w:t>.</w:t>
      </w:r>
      <w:r>
        <w:rPr>
          <w:rStyle w:val="normaltextrun"/>
          <w:rFonts w:ascii="Calibri" w:hAnsi="Calibri" w:cs="Calibri"/>
          <w:color w:val="4A4A4A"/>
          <w:sz w:val="21"/>
          <w:szCs w:val="21"/>
        </w:rPr>
        <w:t> This means that the country data values included in the global SDG database will differ from those published and presented in national survey reports. </w:t>
      </w:r>
      <w:r>
        <w:rPr>
          <w:rStyle w:val="eop"/>
          <w:rFonts w:ascii="Calibri" w:hAnsi="Calibri" w:cs="Calibri"/>
          <w:color w:val="4A4A4A"/>
          <w:sz w:val="21"/>
          <w:szCs w:val="21"/>
        </w:rPr>
        <w:t> </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301F2408" w14:textId="0193B3F2" w:rsidR="00113729" w:rsidRDefault="000D2A58" w:rsidP="00A0125E">
      <w:pPr>
        <w:pStyle w:val="MText"/>
        <w:rPr>
          <w:rFonts w:ascii="Segoe UI" w:hAnsi="Segoe UI" w:cs="Segoe UI"/>
          <w:sz w:val="18"/>
          <w:szCs w:val="18"/>
        </w:rPr>
      </w:pPr>
      <w:r>
        <w:rPr>
          <w:rStyle w:val="normaltextrun"/>
          <w:rFonts w:ascii="Calibri" w:hAnsi="Calibri" w:cs="Calibri"/>
          <w:sz w:val="22"/>
          <w:szCs w:val="22"/>
        </w:rPr>
        <w:t xml:space="preserve">UNICEF statistics on child labour: </w:t>
      </w:r>
      <w:r w:rsidRPr="000D2A58">
        <w:rPr>
          <w:rStyle w:val="normaltextrun"/>
          <w:rFonts w:ascii="Calibri" w:hAnsi="Calibri" w:cs="Calibri"/>
          <w:sz w:val="22"/>
          <w:szCs w:val="22"/>
        </w:rPr>
        <w:t>https://data.unicef.org/topic/child-protection/child-labour/</w:t>
      </w:r>
      <w:r w:rsidR="00113729">
        <w:rPr>
          <w:rStyle w:val="normaltextrun"/>
          <w:rFonts w:ascii="Calibri" w:hAnsi="Calibri" w:cs="Calibri"/>
          <w:sz w:val="22"/>
          <w:szCs w:val="22"/>
        </w:rPr>
        <w:t>  </w:t>
      </w:r>
      <w:r w:rsidR="00113729">
        <w:rPr>
          <w:rStyle w:val="eop"/>
          <w:rFonts w:ascii="Calibri" w:hAnsi="Calibri" w:cs="Calibri"/>
          <w:sz w:val="22"/>
          <w:szCs w:val="22"/>
        </w:rPr>
        <w:t> </w:t>
      </w:r>
    </w:p>
    <w:p w14:paraId="4A0D7C53" w14:textId="77777777" w:rsidR="000D2A58" w:rsidRDefault="000D2A58">
      <w:pPr>
        <w:pStyle w:val="paragraph"/>
        <w:spacing w:before="0" w:beforeAutospacing="0" w:after="0" w:afterAutospacing="0" w:line="276" w:lineRule="auto"/>
        <w:textAlignment w:val="baseline"/>
        <w:rPr>
          <w:rStyle w:val="normaltextrun"/>
          <w:rFonts w:ascii="Calibri" w:hAnsi="Calibri" w:cs="Calibri"/>
          <w:sz w:val="22"/>
          <w:szCs w:val="22"/>
        </w:rPr>
      </w:pPr>
      <w:r w:rsidRPr="000D2A58">
        <w:rPr>
          <w:rStyle w:val="normaltextrun"/>
          <w:rFonts w:ascii="Calibri" w:hAnsi="Calibri" w:cs="Calibri"/>
          <w:color w:val="4A4A4A"/>
          <w:sz w:val="22"/>
          <w:szCs w:val="22"/>
          <w:lang w:val="en-GB" w:eastAsia="en-GB"/>
        </w:rPr>
        <w:lastRenderedPageBreak/>
        <w:t>ILO statistics on child labour:</w:t>
      </w:r>
      <w:r>
        <w:rPr>
          <w:rStyle w:val="normaltextrun"/>
          <w:rFonts w:ascii="Calibri" w:hAnsi="Calibri" w:cs="Calibri"/>
          <w:color w:val="4A4A4A"/>
          <w:sz w:val="22"/>
          <w:szCs w:val="22"/>
          <w:lang w:val="en-GB" w:eastAsia="en-GB"/>
        </w:rPr>
        <w:t xml:space="preserve"> </w:t>
      </w:r>
      <w:hyperlink r:id="rId13" w:history="1">
        <w:r w:rsidRPr="000D2A58">
          <w:rPr>
            <w:rStyle w:val="Hyperlink"/>
            <w:rFonts w:ascii="Calibri" w:hAnsi="Calibri" w:cs="Calibri"/>
            <w:sz w:val="22"/>
            <w:szCs w:val="22"/>
          </w:rPr>
          <w:t>http://www.ilo.org/ipec/ChildlabourstatisticsSIMPOC/Questionnairessurveysandreports/lang--en/index.htm</w:t>
        </w:r>
      </w:hyperlink>
      <w:r w:rsidR="00113729">
        <w:rPr>
          <w:rStyle w:val="normaltextrun"/>
          <w:rFonts w:ascii="Calibri" w:hAnsi="Calibri" w:cs="Calibri"/>
          <w:sz w:val="22"/>
          <w:szCs w:val="22"/>
        </w:rPr>
        <w:t> </w:t>
      </w:r>
    </w:p>
    <w:p w14:paraId="384B0992" w14:textId="72CFF265" w:rsidR="00186795" w:rsidRDefault="000D2A58" w:rsidP="007B6CDE">
      <w:pPr>
        <w:pStyle w:val="paragraph"/>
        <w:spacing w:before="0" w:beforeAutospacing="0" w:after="0" w:afterAutospacing="0" w:line="276" w:lineRule="auto"/>
        <w:textAlignment w:val="baseline"/>
      </w:pPr>
      <w:r w:rsidRPr="000D2A58">
        <w:rPr>
          <w:rStyle w:val="eop"/>
          <w:rFonts w:ascii="Calibri" w:hAnsi="Calibri" w:cs="Calibri"/>
          <w:sz w:val="22"/>
          <w:szCs w:val="22"/>
        </w:rPr>
        <w:t xml:space="preserve">Child </w:t>
      </w:r>
      <w:proofErr w:type="spellStart"/>
      <w:r w:rsidRPr="000D2A58">
        <w:rPr>
          <w:rStyle w:val="eop"/>
          <w:rFonts w:ascii="Calibri" w:hAnsi="Calibri" w:cs="Calibri"/>
          <w:sz w:val="22"/>
          <w:szCs w:val="22"/>
        </w:rPr>
        <w:t>Labour</w:t>
      </w:r>
      <w:proofErr w:type="spellEnd"/>
      <w:r w:rsidRPr="000D2A58">
        <w:rPr>
          <w:rStyle w:val="eop"/>
          <w:rFonts w:ascii="Calibri" w:hAnsi="Calibri" w:cs="Calibri"/>
          <w:sz w:val="22"/>
          <w:szCs w:val="22"/>
        </w:rPr>
        <w:t>: Global estimates 2020, trends and the road forward</w:t>
      </w:r>
      <w:r>
        <w:rPr>
          <w:rStyle w:val="eop"/>
          <w:rFonts w:ascii="Calibri" w:hAnsi="Calibri" w:cs="Calibri"/>
          <w:sz w:val="22"/>
          <w:szCs w:val="22"/>
        </w:rPr>
        <w:t xml:space="preserve">: </w:t>
      </w:r>
      <w:hyperlink r:id="rId14" w:history="1">
        <w:r w:rsidRPr="006D39A9">
          <w:rPr>
            <w:rStyle w:val="Hyperlink"/>
            <w:rFonts w:ascii="Calibri" w:hAnsi="Calibri" w:cs="Calibri"/>
            <w:sz w:val="22"/>
            <w:szCs w:val="22"/>
          </w:rPr>
          <w:t>https://data.unicef.org/resources/child-labour-2020-global-estimates-trends-and-the-road-forward/</w:t>
        </w:r>
      </w:hyperlink>
    </w:p>
    <w:sectPr w:rsidR="00186795">
      <w:headerReference w:type="defaul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D7558B" w14:textId="77777777" w:rsidR="00F4085E" w:rsidRDefault="00F4085E" w:rsidP="00573C0B">
      <w:pPr>
        <w:spacing w:after="0" w:line="240" w:lineRule="auto"/>
      </w:pPr>
      <w:r>
        <w:separator/>
      </w:r>
    </w:p>
  </w:endnote>
  <w:endnote w:type="continuationSeparator" w:id="0">
    <w:p w14:paraId="1C21DABA" w14:textId="77777777" w:rsidR="00F4085E" w:rsidRDefault="00F4085E" w:rsidP="00573C0B">
      <w:pPr>
        <w:spacing w:after="0" w:line="240" w:lineRule="auto"/>
      </w:pPr>
      <w:r>
        <w:continuationSeparator/>
      </w:r>
    </w:p>
  </w:endnote>
  <w:endnote w:type="continuationNotice" w:id="1">
    <w:p w14:paraId="39522CF6" w14:textId="77777777" w:rsidR="00F4085E" w:rsidRDefault="00F408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16A88" w14:textId="77777777" w:rsidR="00F4085E" w:rsidRDefault="00F4085E" w:rsidP="00573C0B">
      <w:pPr>
        <w:spacing w:after="0" w:line="240" w:lineRule="auto"/>
      </w:pPr>
      <w:r>
        <w:separator/>
      </w:r>
    </w:p>
  </w:footnote>
  <w:footnote w:type="continuationSeparator" w:id="0">
    <w:p w14:paraId="2DD8035B" w14:textId="77777777" w:rsidR="00F4085E" w:rsidRDefault="00F4085E" w:rsidP="00573C0B">
      <w:pPr>
        <w:spacing w:after="0" w:line="240" w:lineRule="auto"/>
      </w:pPr>
      <w:r>
        <w:continuationSeparator/>
      </w:r>
    </w:p>
  </w:footnote>
  <w:footnote w:type="continuationNotice" w:id="1">
    <w:p w14:paraId="169D8086" w14:textId="77777777" w:rsidR="00F4085E" w:rsidRDefault="00F4085E">
      <w:pPr>
        <w:spacing w:after="0" w:line="240" w:lineRule="auto"/>
      </w:pPr>
    </w:p>
  </w:footnote>
  <w:footnote w:id="2">
    <w:p w14:paraId="3B82435A" w14:textId="2CD3B103" w:rsidR="00C4397B" w:rsidRPr="00C4397B" w:rsidRDefault="00C4397B">
      <w:pPr>
        <w:pStyle w:val="FootnoteText"/>
        <w:rPr>
          <w:lang w:val="en-US"/>
        </w:rPr>
      </w:pPr>
      <w:r>
        <w:rPr>
          <w:rStyle w:val="FootnoteReference"/>
        </w:rPr>
        <w:footnoteRef/>
      </w:r>
      <w:r>
        <w:t xml:space="preserve"> </w:t>
      </w:r>
      <w:r w:rsidRPr="00830167">
        <w:t>20th International Conference of Labour Statisticians</w:t>
      </w:r>
      <w:r>
        <w:t>. Resolution to amend the 18th ICLS Resolution concerning statistics of child labour. ILO. Geneva, October 2019.</w:t>
      </w:r>
    </w:p>
  </w:footnote>
  <w:footnote w:id="3">
    <w:p w14:paraId="781075C0" w14:textId="7552DD39" w:rsidR="00C4397B" w:rsidRPr="00C4397B" w:rsidRDefault="00C4397B">
      <w:pPr>
        <w:pStyle w:val="FootnoteText"/>
        <w:rPr>
          <w:lang w:val="en-US"/>
        </w:rPr>
      </w:pPr>
      <w:r>
        <w:rPr>
          <w:rStyle w:val="FootnoteReference"/>
        </w:rPr>
        <w:footnoteRef/>
      </w:r>
      <w:r>
        <w:t xml:space="preserve"> </w:t>
      </w:r>
      <w:r>
        <w:rPr>
          <w:lang w:val="en-US"/>
        </w:rPr>
        <w:t>No hourly threshold is set for household chores for ages 15-17.</w:t>
      </w:r>
    </w:p>
  </w:footnote>
  <w:footnote w:id="4">
    <w:p w14:paraId="20276888" w14:textId="63672EFC" w:rsidR="007A606E" w:rsidRPr="007A606E" w:rsidRDefault="007A606E">
      <w:pPr>
        <w:pStyle w:val="FootnoteText"/>
        <w:rPr>
          <w:lang w:val="en-US"/>
        </w:rPr>
      </w:pPr>
      <w:r>
        <w:rPr>
          <w:rStyle w:val="FootnoteReference"/>
        </w:rPr>
        <w:footnoteRef/>
      </w:r>
      <w:r>
        <w:t xml:space="preserve"> </w:t>
      </w:r>
      <w:r w:rsidRPr="009530D6">
        <w:t xml:space="preserve">Principal areas of flexibility in the Convention include: </w:t>
      </w:r>
      <w:r>
        <w:t>(a)</w:t>
      </w:r>
      <w:r w:rsidRPr="009530D6">
        <w:rPr>
          <w:i/>
        </w:rPr>
        <w:t>minimum ages</w:t>
      </w:r>
      <w:r w:rsidRPr="009530D6">
        <w:t xml:space="preserve">: Members whose economy and educational facilities are insufficiently developed may specify a lower general minimum age of 14 years (Art. 2.4) and </w:t>
      </w:r>
      <w:r>
        <w:t xml:space="preserve">a </w:t>
      </w:r>
      <w:r w:rsidRPr="009530D6">
        <w:t xml:space="preserve">lower age range for light work of 12 to 14 years (Art 7.4); </w:t>
      </w:r>
      <w:r>
        <w:t xml:space="preserve">and </w:t>
      </w:r>
      <w:r w:rsidRPr="009530D6">
        <w:t xml:space="preserve">(b) </w:t>
      </w:r>
      <w:r w:rsidRPr="009530D6">
        <w:rPr>
          <w:i/>
        </w:rPr>
        <w:t>scope of application</w:t>
      </w:r>
      <w:r w:rsidRPr="009530D6">
        <w:t>: Members may exclude from the application of the Convention limited (non-hazardous) categories of employment or work in respect of which special and substantial problems of application arise (Art. 4.1). Members whose economy and administrative facilities are insufficiently developed may also initially limit the scope of application of the Convention (Art. 5.1) beyond a core group of economic activities or undertakings (Art. 5.3)</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7D4B35D5" w:rsidR="00077F46" w:rsidRPr="00757E8A" w:rsidRDefault="00077F46"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0757E8A">
      <w:rPr>
        <w:color w:val="404040" w:themeColor="text1" w:themeTint="BF"/>
        <w:sz w:val="18"/>
        <w:szCs w:val="18"/>
      </w:rPr>
      <w:t>Last updated:</w:t>
    </w:r>
    <w:bookmarkEnd w:id="5"/>
    <w:bookmarkEnd w:id="6"/>
    <w:bookmarkEnd w:id="7"/>
    <w:bookmarkEnd w:id="8"/>
    <w:bookmarkEnd w:id="9"/>
    <w:bookmarkEnd w:id="10"/>
    <w:r w:rsidR="00AF5552">
      <w:rPr>
        <w:color w:val="404040" w:themeColor="text1" w:themeTint="BF"/>
        <w:sz w:val="18"/>
        <w:szCs w:val="18"/>
      </w:rPr>
      <w:t xml:space="preserve"> </w:t>
    </w:r>
    <w:r w:rsidR="00BF6094">
      <w:rPr>
        <w:color w:val="404040" w:themeColor="text1" w:themeTint="BF"/>
        <w:sz w:val="18"/>
        <w:szCs w:val="18"/>
      </w:rPr>
      <w:t>2024-07-29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5DB"/>
    <w:multiLevelType w:val="multilevel"/>
    <w:tmpl w:val="A3BCC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BE68F9"/>
    <w:multiLevelType w:val="multilevel"/>
    <w:tmpl w:val="DAF8D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E80AB0"/>
    <w:multiLevelType w:val="multilevel"/>
    <w:tmpl w:val="67CEE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2858B6"/>
    <w:multiLevelType w:val="multilevel"/>
    <w:tmpl w:val="022A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3597296">
    <w:abstractNumId w:val="5"/>
  </w:num>
  <w:num w:numId="2" w16cid:durableId="248739511">
    <w:abstractNumId w:val="2"/>
  </w:num>
  <w:num w:numId="3" w16cid:durableId="864635352">
    <w:abstractNumId w:val="7"/>
  </w:num>
  <w:num w:numId="4" w16cid:durableId="220605953">
    <w:abstractNumId w:val="4"/>
  </w:num>
  <w:num w:numId="5" w16cid:durableId="1084953250">
    <w:abstractNumId w:val="6"/>
  </w:num>
  <w:num w:numId="6" w16cid:durableId="268046964">
    <w:abstractNumId w:val="0"/>
  </w:num>
  <w:num w:numId="7" w16cid:durableId="257954264">
    <w:abstractNumId w:val="3"/>
  </w:num>
  <w:num w:numId="8" w16cid:durableId="883102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467E"/>
    <w:rsid w:val="000070BA"/>
    <w:rsid w:val="00007647"/>
    <w:rsid w:val="000173F9"/>
    <w:rsid w:val="000412A0"/>
    <w:rsid w:val="00047DDA"/>
    <w:rsid w:val="00052E54"/>
    <w:rsid w:val="0005455A"/>
    <w:rsid w:val="000626E4"/>
    <w:rsid w:val="00071F07"/>
    <w:rsid w:val="0007759D"/>
    <w:rsid w:val="000777AB"/>
    <w:rsid w:val="00077F46"/>
    <w:rsid w:val="00087F56"/>
    <w:rsid w:val="00090FB1"/>
    <w:rsid w:val="00096186"/>
    <w:rsid w:val="000A72E4"/>
    <w:rsid w:val="000B0E2F"/>
    <w:rsid w:val="000B1503"/>
    <w:rsid w:val="000B2430"/>
    <w:rsid w:val="000C14BD"/>
    <w:rsid w:val="000D0B30"/>
    <w:rsid w:val="000D2A58"/>
    <w:rsid w:val="000D39AC"/>
    <w:rsid w:val="000E21F1"/>
    <w:rsid w:val="000F25FA"/>
    <w:rsid w:val="000F703E"/>
    <w:rsid w:val="00112A18"/>
    <w:rsid w:val="00113729"/>
    <w:rsid w:val="00120E86"/>
    <w:rsid w:val="00125DE9"/>
    <w:rsid w:val="001332E0"/>
    <w:rsid w:val="00134DE7"/>
    <w:rsid w:val="00147A2B"/>
    <w:rsid w:val="00171D99"/>
    <w:rsid w:val="00185354"/>
    <w:rsid w:val="001854DC"/>
    <w:rsid w:val="00186795"/>
    <w:rsid w:val="00194D09"/>
    <w:rsid w:val="001A7D5C"/>
    <w:rsid w:val="001B60AA"/>
    <w:rsid w:val="001B63C8"/>
    <w:rsid w:val="001C1972"/>
    <w:rsid w:val="001C421F"/>
    <w:rsid w:val="001D360D"/>
    <w:rsid w:val="001E34D0"/>
    <w:rsid w:val="001E4EA9"/>
    <w:rsid w:val="002027A6"/>
    <w:rsid w:val="00231F97"/>
    <w:rsid w:val="002427DA"/>
    <w:rsid w:val="00246C97"/>
    <w:rsid w:val="00253D1E"/>
    <w:rsid w:val="00257552"/>
    <w:rsid w:val="00261A8D"/>
    <w:rsid w:val="00277E70"/>
    <w:rsid w:val="00283C1C"/>
    <w:rsid w:val="00291A00"/>
    <w:rsid w:val="00291A11"/>
    <w:rsid w:val="002A315C"/>
    <w:rsid w:val="002A3342"/>
    <w:rsid w:val="002A3DB5"/>
    <w:rsid w:val="002A64BA"/>
    <w:rsid w:val="002B4989"/>
    <w:rsid w:val="002C2510"/>
    <w:rsid w:val="002C71C9"/>
    <w:rsid w:val="002D714E"/>
    <w:rsid w:val="002E53C3"/>
    <w:rsid w:val="002F1468"/>
    <w:rsid w:val="002F59A7"/>
    <w:rsid w:val="002F5F0C"/>
    <w:rsid w:val="003156EF"/>
    <w:rsid w:val="003265EB"/>
    <w:rsid w:val="0034329E"/>
    <w:rsid w:val="00343FAA"/>
    <w:rsid w:val="00347F5E"/>
    <w:rsid w:val="00353C98"/>
    <w:rsid w:val="00371A20"/>
    <w:rsid w:val="003821B4"/>
    <w:rsid w:val="00382CF3"/>
    <w:rsid w:val="00387D52"/>
    <w:rsid w:val="003A7CEA"/>
    <w:rsid w:val="003F0BD3"/>
    <w:rsid w:val="003F278A"/>
    <w:rsid w:val="003F7A02"/>
    <w:rsid w:val="00422EA5"/>
    <w:rsid w:val="00422EFA"/>
    <w:rsid w:val="0042791F"/>
    <w:rsid w:val="004456ED"/>
    <w:rsid w:val="0048045A"/>
    <w:rsid w:val="004841B8"/>
    <w:rsid w:val="004930F2"/>
    <w:rsid w:val="00497352"/>
    <w:rsid w:val="004A5024"/>
    <w:rsid w:val="004B0F1C"/>
    <w:rsid w:val="004B749C"/>
    <w:rsid w:val="004E16C4"/>
    <w:rsid w:val="004F1359"/>
    <w:rsid w:val="004F2EE6"/>
    <w:rsid w:val="004F60C0"/>
    <w:rsid w:val="004F60DA"/>
    <w:rsid w:val="00502DBA"/>
    <w:rsid w:val="005040C4"/>
    <w:rsid w:val="00507637"/>
    <w:rsid w:val="00507852"/>
    <w:rsid w:val="00514DBF"/>
    <w:rsid w:val="005174AF"/>
    <w:rsid w:val="0053169C"/>
    <w:rsid w:val="00534636"/>
    <w:rsid w:val="0053780D"/>
    <w:rsid w:val="00542B64"/>
    <w:rsid w:val="00550921"/>
    <w:rsid w:val="00563712"/>
    <w:rsid w:val="00573631"/>
    <w:rsid w:val="00573C0B"/>
    <w:rsid w:val="005768D7"/>
    <w:rsid w:val="00576CFA"/>
    <w:rsid w:val="0058556D"/>
    <w:rsid w:val="00592AF2"/>
    <w:rsid w:val="005947AD"/>
    <w:rsid w:val="00597748"/>
    <w:rsid w:val="005979E8"/>
    <w:rsid w:val="005B56BE"/>
    <w:rsid w:val="005D0AF4"/>
    <w:rsid w:val="005E54BD"/>
    <w:rsid w:val="005E716E"/>
    <w:rsid w:val="005F6CCA"/>
    <w:rsid w:val="006035F9"/>
    <w:rsid w:val="0060532D"/>
    <w:rsid w:val="00606C41"/>
    <w:rsid w:val="006104AF"/>
    <w:rsid w:val="00620902"/>
    <w:rsid w:val="00621893"/>
    <w:rsid w:val="00627ECF"/>
    <w:rsid w:val="006351E1"/>
    <w:rsid w:val="00644652"/>
    <w:rsid w:val="006447B1"/>
    <w:rsid w:val="00662775"/>
    <w:rsid w:val="00680BF6"/>
    <w:rsid w:val="00681F80"/>
    <w:rsid w:val="006852FC"/>
    <w:rsid w:val="00686531"/>
    <w:rsid w:val="006B245E"/>
    <w:rsid w:val="006B40AB"/>
    <w:rsid w:val="006B5DC5"/>
    <w:rsid w:val="006C3D7B"/>
    <w:rsid w:val="006C4BFD"/>
    <w:rsid w:val="006C7D30"/>
    <w:rsid w:val="006D39A9"/>
    <w:rsid w:val="006D3D44"/>
    <w:rsid w:val="006E3C08"/>
    <w:rsid w:val="00700ACF"/>
    <w:rsid w:val="00712487"/>
    <w:rsid w:val="007530CA"/>
    <w:rsid w:val="00756D68"/>
    <w:rsid w:val="007578D9"/>
    <w:rsid w:val="00757E8A"/>
    <w:rsid w:val="00763E43"/>
    <w:rsid w:val="00764EB5"/>
    <w:rsid w:val="00777A95"/>
    <w:rsid w:val="00782416"/>
    <w:rsid w:val="00786477"/>
    <w:rsid w:val="007913EB"/>
    <w:rsid w:val="00794C19"/>
    <w:rsid w:val="007A147A"/>
    <w:rsid w:val="007A5AF5"/>
    <w:rsid w:val="007A606E"/>
    <w:rsid w:val="007B0364"/>
    <w:rsid w:val="007B6CDE"/>
    <w:rsid w:val="007D0981"/>
    <w:rsid w:val="007D1929"/>
    <w:rsid w:val="007D56A1"/>
    <w:rsid w:val="007E4DFA"/>
    <w:rsid w:val="00803CF1"/>
    <w:rsid w:val="00807071"/>
    <w:rsid w:val="008104BB"/>
    <w:rsid w:val="008169AC"/>
    <w:rsid w:val="008249C5"/>
    <w:rsid w:val="00847838"/>
    <w:rsid w:val="008526F9"/>
    <w:rsid w:val="0085285E"/>
    <w:rsid w:val="00853023"/>
    <w:rsid w:val="008534D4"/>
    <w:rsid w:val="008567B3"/>
    <w:rsid w:val="00875961"/>
    <w:rsid w:val="00881BAA"/>
    <w:rsid w:val="00881E28"/>
    <w:rsid w:val="008841A3"/>
    <w:rsid w:val="00894C4B"/>
    <w:rsid w:val="008A12E3"/>
    <w:rsid w:val="008A42FA"/>
    <w:rsid w:val="008B0AC7"/>
    <w:rsid w:val="008B233B"/>
    <w:rsid w:val="008C2335"/>
    <w:rsid w:val="008C67C1"/>
    <w:rsid w:val="008D0406"/>
    <w:rsid w:val="008D1D39"/>
    <w:rsid w:val="008E02DC"/>
    <w:rsid w:val="008F07D2"/>
    <w:rsid w:val="008F2C16"/>
    <w:rsid w:val="008F3E40"/>
    <w:rsid w:val="008F72C9"/>
    <w:rsid w:val="00911CC7"/>
    <w:rsid w:val="00917851"/>
    <w:rsid w:val="00917F65"/>
    <w:rsid w:val="009311E7"/>
    <w:rsid w:val="00942694"/>
    <w:rsid w:val="00947007"/>
    <w:rsid w:val="0095140D"/>
    <w:rsid w:val="009733AE"/>
    <w:rsid w:val="0098507C"/>
    <w:rsid w:val="009A7E3A"/>
    <w:rsid w:val="009B1265"/>
    <w:rsid w:val="009B4A15"/>
    <w:rsid w:val="009B5693"/>
    <w:rsid w:val="009C61A2"/>
    <w:rsid w:val="009C78E4"/>
    <w:rsid w:val="009D687E"/>
    <w:rsid w:val="009F6DE7"/>
    <w:rsid w:val="00A0125E"/>
    <w:rsid w:val="00A04EDC"/>
    <w:rsid w:val="00A10583"/>
    <w:rsid w:val="00A11936"/>
    <w:rsid w:val="00A31D5A"/>
    <w:rsid w:val="00A372D0"/>
    <w:rsid w:val="00A37FCB"/>
    <w:rsid w:val="00A40784"/>
    <w:rsid w:val="00A50B68"/>
    <w:rsid w:val="00A54863"/>
    <w:rsid w:val="00A61D74"/>
    <w:rsid w:val="00A818FC"/>
    <w:rsid w:val="00A8688B"/>
    <w:rsid w:val="00A91163"/>
    <w:rsid w:val="00A9286F"/>
    <w:rsid w:val="00A96255"/>
    <w:rsid w:val="00A967B2"/>
    <w:rsid w:val="00AB285B"/>
    <w:rsid w:val="00AC4750"/>
    <w:rsid w:val="00AE72C3"/>
    <w:rsid w:val="00AF5552"/>
    <w:rsid w:val="00AF5CB4"/>
    <w:rsid w:val="00AF5ED1"/>
    <w:rsid w:val="00AF71D6"/>
    <w:rsid w:val="00B14239"/>
    <w:rsid w:val="00B216EE"/>
    <w:rsid w:val="00B3175F"/>
    <w:rsid w:val="00B31E2C"/>
    <w:rsid w:val="00B329B0"/>
    <w:rsid w:val="00B402D8"/>
    <w:rsid w:val="00B4237C"/>
    <w:rsid w:val="00B42FE8"/>
    <w:rsid w:val="00B52AFD"/>
    <w:rsid w:val="00B54077"/>
    <w:rsid w:val="00B635B9"/>
    <w:rsid w:val="00B7033B"/>
    <w:rsid w:val="00B8087E"/>
    <w:rsid w:val="00BB33C1"/>
    <w:rsid w:val="00BB646E"/>
    <w:rsid w:val="00BC6F2D"/>
    <w:rsid w:val="00BD1BA1"/>
    <w:rsid w:val="00BF01DE"/>
    <w:rsid w:val="00BF6094"/>
    <w:rsid w:val="00C019E5"/>
    <w:rsid w:val="00C258AC"/>
    <w:rsid w:val="00C35BC4"/>
    <w:rsid w:val="00C4397B"/>
    <w:rsid w:val="00C43F5B"/>
    <w:rsid w:val="00C53DBA"/>
    <w:rsid w:val="00CB4371"/>
    <w:rsid w:val="00CC516D"/>
    <w:rsid w:val="00CF1311"/>
    <w:rsid w:val="00D00765"/>
    <w:rsid w:val="00D24330"/>
    <w:rsid w:val="00D379F1"/>
    <w:rsid w:val="00D40056"/>
    <w:rsid w:val="00D51E7C"/>
    <w:rsid w:val="00D53F9E"/>
    <w:rsid w:val="00D54797"/>
    <w:rsid w:val="00D54F29"/>
    <w:rsid w:val="00D7020C"/>
    <w:rsid w:val="00D70AD9"/>
    <w:rsid w:val="00D72152"/>
    <w:rsid w:val="00D7354B"/>
    <w:rsid w:val="00D94BA5"/>
    <w:rsid w:val="00D9510F"/>
    <w:rsid w:val="00DA615C"/>
    <w:rsid w:val="00DC75C3"/>
    <w:rsid w:val="00DD1BC6"/>
    <w:rsid w:val="00DE5DC3"/>
    <w:rsid w:val="00E00D8A"/>
    <w:rsid w:val="00E1050F"/>
    <w:rsid w:val="00E11604"/>
    <w:rsid w:val="00E11D92"/>
    <w:rsid w:val="00E130A0"/>
    <w:rsid w:val="00E210C4"/>
    <w:rsid w:val="00E222F5"/>
    <w:rsid w:val="00E23DB7"/>
    <w:rsid w:val="00E46D96"/>
    <w:rsid w:val="00E52CCA"/>
    <w:rsid w:val="00E66409"/>
    <w:rsid w:val="00E81D5B"/>
    <w:rsid w:val="00E976B9"/>
    <w:rsid w:val="00E97954"/>
    <w:rsid w:val="00EA05D3"/>
    <w:rsid w:val="00EB19AD"/>
    <w:rsid w:val="00EB2F31"/>
    <w:rsid w:val="00EB51C4"/>
    <w:rsid w:val="00EB6493"/>
    <w:rsid w:val="00EC2915"/>
    <w:rsid w:val="00ED05A9"/>
    <w:rsid w:val="00ED1BA0"/>
    <w:rsid w:val="00EE343A"/>
    <w:rsid w:val="00F17257"/>
    <w:rsid w:val="00F25607"/>
    <w:rsid w:val="00F32282"/>
    <w:rsid w:val="00F3497A"/>
    <w:rsid w:val="00F34D24"/>
    <w:rsid w:val="00F3533F"/>
    <w:rsid w:val="00F4085E"/>
    <w:rsid w:val="00F4130B"/>
    <w:rsid w:val="00F556A2"/>
    <w:rsid w:val="00F719A8"/>
    <w:rsid w:val="00F77BE9"/>
    <w:rsid w:val="00F86507"/>
    <w:rsid w:val="00F878B9"/>
    <w:rsid w:val="00FA1643"/>
    <w:rsid w:val="00FB02C0"/>
    <w:rsid w:val="00FB24E8"/>
    <w:rsid w:val="00FB3B2B"/>
    <w:rsid w:val="00FC18DA"/>
    <w:rsid w:val="00FC3917"/>
    <w:rsid w:val="00FD60DA"/>
    <w:rsid w:val="00FF07B4"/>
    <w:rsid w:val="15706567"/>
    <w:rsid w:val="28137B26"/>
    <w:rsid w:val="3373DAD2"/>
    <w:rsid w:val="35CD0CEC"/>
    <w:rsid w:val="3CCE3E45"/>
    <w:rsid w:val="461991F0"/>
    <w:rsid w:val="50DECAE4"/>
    <w:rsid w:val="55BE57B8"/>
    <w:rsid w:val="56CBEA49"/>
    <w:rsid w:val="5818E35F"/>
    <w:rsid w:val="5BDDC173"/>
    <w:rsid w:val="5D7991D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4">
    <w:name w:val="heading 4"/>
    <w:basedOn w:val="Normal"/>
    <w:next w:val="Normal"/>
    <w:link w:val="Heading4Char"/>
    <w:uiPriority w:val="9"/>
    <w:semiHidden/>
    <w:unhideWhenUsed/>
    <w:qFormat/>
    <w:rsid w:val="00794C1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character" w:customStyle="1" w:styleId="normaltextrun">
    <w:name w:val="normaltextrun"/>
    <w:basedOn w:val="DefaultParagraphFont"/>
    <w:rsid w:val="00D379F1"/>
  </w:style>
  <w:style w:type="character" w:customStyle="1" w:styleId="eop">
    <w:name w:val="eop"/>
    <w:basedOn w:val="DefaultParagraphFont"/>
    <w:rsid w:val="00D379F1"/>
  </w:style>
  <w:style w:type="paragraph" w:customStyle="1" w:styleId="paragraph">
    <w:name w:val="paragraph"/>
    <w:basedOn w:val="Normal"/>
    <w:rsid w:val="00D379F1"/>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superscript">
    <w:name w:val="superscript"/>
    <w:basedOn w:val="DefaultParagraphFont"/>
    <w:rsid w:val="00D379F1"/>
  </w:style>
  <w:style w:type="paragraph" w:styleId="NoSpacing">
    <w:name w:val="No Spacing"/>
    <w:uiPriority w:val="1"/>
    <w:qFormat/>
    <w:rsid w:val="00AE72C3"/>
    <w:pPr>
      <w:spacing w:after="0" w:line="240" w:lineRule="auto"/>
    </w:pPr>
  </w:style>
  <w:style w:type="paragraph" w:styleId="FootnoteText">
    <w:name w:val="footnote text"/>
    <w:basedOn w:val="Normal"/>
    <w:link w:val="FootnoteTextChar"/>
    <w:uiPriority w:val="99"/>
    <w:semiHidden/>
    <w:unhideWhenUsed/>
    <w:rsid w:val="00C439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397B"/>
    <w:rPr>
      <w:sz w:val="20"/>
      <w:szCs w:val="20"/>
    </w:rPr>
  </w:style>
  <w:style w:type="character" w:styleId="FootnoteReference">
    <w:name w:val="footnote reference"/>
    <w:basedOn w:val="DefaultParagraphFont"/>
    <w:uiPriority w:val="99"/>
    <w:semiHidden/>
    <w:unhideWhenUsed/>
    <w:rsid w:val="00C4397B"/>
    <w:rPr>
      <w:vertAlign w:val="superscript"/>
    </w:rPr>
  </w:style>
  <w:style w:type="character" w:styleId="UnresolvedMention">
    <w:name w:val="Unresolved Mention"/>
    <w:basedOn w:val="DefaultParagraphFont"/>
    <w:uiPriority w:val="99"/>
    <w:semiHidden/>
    <w:unhideWhenUsed/>
    <w:rsid w:val="000D2A58"/>
    <w:rPr>
      <w:color w:val="605E5C"/>
      <w:shd w:val="clear" w:color="auto" w:fill="E1DFDD"/>
    </w:rPr>
  </w:style>
  <w:style w:type="character" w:customStyle="1" w:styleId="Heading4Char">
    <w:name w:val="Heading 4 Char"/>
    <w:basedOn w:val="DefaultParagraphFont"/>
    <w:link w:val="Heading4"/>
    <w:uiPriority w:val="9"/>
    <w:semiHidden/>
    <w:rsid w:val="00794C19"/>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53780D"/>
    <w:rPr>
      <w:color w:val="800080" w:themeColor="followedHyperlink"/>
      <w:u w:val="single"/>
    </w:rPr>
  </w:style>
  <w:style w:type="paragraph" w:styleId="Revision">
    <w:name w:val="Revision"/>
    <w:hidden/>
    <w:uiPriority w:val="99"/>
    <w:semiHidden/>
    <w:rsid w:val="008841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31965">
      <w:bodyDiv w:val="1"/>
      <w:marLeft w:val="0"/>
      <w:marRight w:val="0"/>
      <w:marTop w:val="0"/>
      <w:marBottom w:val="0"/>
      <w:divBdr>
        <w:top w:val="none" w:sz="0" w:space="0" w:color="auto"/>
        <w:left w:val="none" w:sz="0" w:space="0" w:color="auto"/>
        <w:bottom w:val="none" w:sz="0" w:space="0" w:color="auto"/>
        <w:right w:val="none" w:sz="0" w:space="0" w:color="auto"/>
      </w:divBdr>
      <w:divsChild>
        <w:div w:id="1999461720">
          <w:marLeft w:val="0"/>
          <w:marRight w:val="0"/>
          <w:marTop w:val="0"/>
          <w:marBottom w:val="0"/>
          <w:divBdr>
            <w:top w:val="none" w:sz="0" w:space="0" w:color="auto"/>
            <w:left w:val="none" w:sz="0" w:space="0" w:color="auto"/>
            <w:bottom w:val="none" w:sz="0" w:space="0" w:color="auto"/>
            <w:right w:val="none" w:sz="0" w:space="0" w:color="auto"/>
          </w:divBdr>
        </w:div>
        <w:div w:id="558636636">
          <w:marLeft w:val="0"/>
          <w:marRight w:val="0"/>
          <w:marTop w:val="0"/>
          <w:marBottom w:val="0"/>
          <w:divBdr>
            <w:top w:val="none" w:sz="0" w:space="0" w:color="auto"/>
            <w:left w:val="none" w:sz="0" w:space="0" w:color="auto"/>
            <w:bottom w:val="none" w:sz="0" w:space="0" w:color="auto"/>
            <w:right w:val="none" w:sz="0" w:space="0" w:color="auto"/>
          </w:divBdr>
        </w:div>
        <w:div w:id="859204174">
          <w:marLeft w:val="0"/>
          <w:marRight w:val="0"/>
          <w:marTop w:val="0"/>
          <w:marBottom w:val="0"/>
          <w:divBdr>
            <w:top w:val="none" w:sz="0" w:space="0" w:color="auto"/>
            <w:left w:val="none" w:sz="0" w:space="0" w:color="auto"/>
            <w:bottom w:val="none" w:sz="0" w:space="0" w:color="auto"/>
            <w:right w:val="none" w:sz="0" w:space="0" w:color="auto"/>
          </w:divBdr>
        </w:div>
        <w:div w:id="1605108513">
          <w:marLeft w:val="0"/>
          <w:marRight w:val="0"/>
          <w:marTop w:val="0"/>
          <w:marBottom w:val="0"/>
          <w:divBdr>
            <w:top w:val="none" w:sz="0" w:space="0" w:color="auto"/>
            <w:left w:val="none" w:sz="0" w:space="0" w:color="auto"/>
            <w:bottom w:val="none" w:sz="0" w:space="0" w:color="auto"/>
            <w:right w:val="none" w:sz="0" w:space="0" w:color="auto"/>
          </w:divBdr>
        </w:div>
        <w:div w:id="187840823">
          <w:marLeft w:val="0"/>
          <w:marRight w:val="0"/>
          <w:marTop w:val="0"/>
          <w:marBottom w:val="0"/>
          <w:divBdr>
            <w:top w:val="none" w:sz="0" w:space="0" w:color="auto"/>
            <w:left w:val="none" w:sz="0" w:space="0" w:color="auto"/>
            <w:bottom w:val="none" w:sz="0" w:space="0" w:color="auto"/>
            <w:right w:val="none" w:sz="0" w:space="0" w:color="auto"/>
          </w:divBdr>
        </w:div>
      </w:divsChild>
    </w:div>
    <w:div w:id="59209255">
      <w:bodyDiv w:val="1"/>
      <w:marLeft w:val="0"/>
      <w:marRight w:val="0"/>
      <w:marTop w:val="0"/>
      <w:marBottom w:val="0"/>
      <w:divBdr>
        <w:top w:val="none" w:sz="0" w:space="0" w:color="auto"/>
        <w:left w:val="none" w:sz="0" w:space="0" w:color="auto"/>
        <w:bottom w:val="none" w:sz="0" w:space="0" w:color="auto"/>
        <w:right w:val="none" w:sz="0" w:space="0" w:color="auto"/>
      </w:divBdr>
      <w:divsChild>
        <w:div w:id="962350571">
          <w:marLeft w:val="0"/>
          <w:marRight w:val="0"/>
          <w:marTop w:val="0"/>
          <w:marBottom w:val="0"/>
          <w:divBdr>
            <w:top w:val="none" w:sz="0" w:space="0" w:color="auto"/>
            <w:left w:val="none" w:sz="0" w:space="0" w:color="auto"/>
            <w:bottom w:val="none" w:sz="0" w:space="0" w:color="auto"/>
            <w:right w:val="none" w:sz="0" w:space="0" w:color="auto"/>
          </w:divBdr>
        </w:div>
        <w:div w:id="1218858867">
          <w:marLeft w:val="0"/>
          <w:marRight w:val="0"/>
          <w:marTop w:val="0"/>
          <w:marBottom w:val="0"/>
          <w:divBdr>
            <w:top w:val="none" w:sz="0" w:space="0" w:color="auto"/>
            <w:left w:val="none" w:sz="0" w:space="0" w:color="auto"/>
            <w:bottom w:val="none" w:sz="0" w:space="0" w:color="auto"/>
            <w:right w:val="none" w:sz="0" w:space="0" w:color="auto"/>
          </w:divBdr>
        </w:div>
      </w:divsChild>
    </w:div>
    <w:div w:id="114836987">
      <w:bodyDiv w:val="1"/>
      <w:marLeft w:val="0"/>
      <w:marRight w:val="0"/>
      <w:marTop w:val="0"/>
      <w:marBottom w:val="0"/>
      <w:divBdr>
        <w:top w:val="none" w:sz="0" w:space="0" w:color="auto"/>
        <w:left w:val="none" w:sz="0" w:space="0" w:color="auto"/>
        <w:bottom w:val="none" w:sz="0" w:space="0" w:color="auto"/>
        <w:right w:val="none" w:sz="0" w:space="0" w:color="auto"/>
      </w:divBdr>
      <w:divsChild>
        <w:div w:id="722601946">
          <w:marLeft w:val="0"/>
          <w:marRight w:val="0"/>
          <w:marTop w:val="0"/>
          <w:marBottom w:val="0"/>
          <w:divBdr>
            <w:top w:val="none" w:sz="0" w:space="0" w:color="auto"/>
            <w:left w:val="none" w:sz="0" w:space="0" w:color="auto"/>
            <w:bottom w:val="none" w:sz="0" w:space="0" w:color="auto"/>
            <w:right w:val="none" w:sz="0" w:space="0" w:color="auto"/>
          </w:divBdr>
        </w:div>
        <w:div w:id="776213403">
          <w:marLeft w:val="0"/>
          <w:marRight w:val="0"/>
          <w:marTop w:val="0"/>
          <w:marBottom w:val="0"/>
          <w:divBdr>
            <w:top w:val="none" w:sz="0" w:space="0" w:color="auto"/>
            <w:left w:val="none" w:sz="0" w:space="0" w:color="auto"/>
            <w:bottom w:val="none" w:sz="0" w:space="0" w:color="auto"/>
            <w:right w:val="none" w:sz="0" w:space="0" w:color="auto"/>
          </w:divBdr>
        </w:div>
        <w:div w:id="834226498">
          <w:marLeft w:val="0"/>
          <w:marRight w:val="0"/>
          <w:marTop w:val="0"/>
          <w:marBottom w:val="0"/>
          <w:divBdr>
            <w:top w:val="none" w:sz="0" w:space="0" w:color="auto"/>
            <w:left w:val="none" w:sz="0" w:space="0" w:color="auto"/>
            <w:bottom w:val="none" w:sz="0" w:space="0" w:color="auto"/>
            <w:right w:val="none" w:sz="0" w:space="0" w:color="auto"/>
          </w:divBdr>
        </w:div>
      </w:divsChild>
    </w:div>
    <w:div w:id="217325569">
      <w:bodyDiv w:val="1"/>
      <w:marLeft w:val="0"/>
      <w:marRight w:val="0"/>
      <w:marTop w:val="0"/>
      <w:marBottom w:val="0"/>
      <w:divBdr>
        <w:top w:val="none" w:sz="0" w:space="0" w:color="auto"/>
        <w:left w:val="none" w:sz="0" w:space="0" w:color="auto"/>
        <w:bottom w:val="none" w:sz="0" w:space="0" w:color="auto"/>
        <w:right w:val="none" w:sz="0" w:space="0" w:color="auto"/>
      </w:divBdr>
      <w:divsChild>
        <w:div w:id="1076827480">
          <w:marLeft w:val="0"/>
          <w:marRight w:val="0"/>
          <w:marTop w:val="0"/>
          <w:marBottom w:val="0"/>
          <w:divBdr>
            <w:top w:val="none" w:sz="0" w:space="0" w:color="auto"/>
            <w:left w:val="none" w:sz="0" w:space="0" w:color="auto"/>
            <w:bottom w:val="none" w:sz="0" w:space="0" w:color="auto"/>
            <w:right w:val="none" w:sz="0" w:space="0" w:color="auto"/>
          </w:divBdr>
        </w:div>
        <w:div w:id="1293905092">
          <w:marLeft w:val="0"/>
          <w:marRight w:val="0"/>
          <w:marTop w:val="0"/>
          <w:marBottom w:val="0"/>
          <w:divBdr>
            <w:top w:val="none" w:sz="0" w:space="0" w:color="auto"/>
            <w:left w:val="none" w:sz="0" w:space="0" w:color="auto"/>
            <w:bottom w:val="none" w:sz="0" w:space="0" w:color="auto"/>
            <w:right w:val="none" w:sz="0" w:space="0" w:color="auto"/>
          </w:divBdr>
        </w:div>
        <w:div w:id="939723644">
          <w:marLeft w:val="0"/>
          <w:marRight w:val="0"/>
          <w:marTop w:val="0"/>
          <w:marBottom w:val="0"/>
          <w:divBdr>
            <w:top w:val="none" w:sz="0" w:space="0" w:color="auto"/>
            <w:left w:val="none" w:sz="0" w:space="0" w:color="auto"/>
            <w:bottom w:val="none" w:sz="0" w:space="0" w:color="auto"/>
            <w:right w:val="none" w:sz="0" w:space="0" w:color="auto"/>
          </w:divBdr>
        </w:div>
      </w:divsChild>
    </w:div>
    <w:div w:id="430971387">
      <w:bodyDiv w:val="1"/>
      <w:marLeft w:val="0"/>
      <w:marRight w:val="0"/>
      <w:marTop w:val="0"/>
      <w:marBottom w:val="0"/>
      <w:divBdr>
        <w:top w:val="none" w:sz="0" w:space="0" w:color="auto"/>
        <w:left w:val="none" w:sz="0" w:space="0" w:color="auto"/>
        <w:bottom w:val="none" w:sz="0" w:space="0" w:color="auto"/>
        <w:right w:val="none" w:sz="0" w:space="0" w:color="auto"/>
      </w:divBdr>
      <w:divsChild>
        <w:div w:id="1947468019">
          <w:marLeft w:val="0"/>
          <w:marRight w:val="0"/>
          <w:marTop w:val="0"/>
          <w:marBottom w:val="0"/>
          <w:divBdr>
            <w:top w:val="none" w:sz="0" w:space="0" w:color="auto"/>
            <w:left w:val="none" w:sz="0" w:space="0" w:color="auto"/>
            <w:bottom w:val="none" w:sz="0" w:space="0" w:color="auto"/>
            <w:right w:val="none" w:sz="0" w:space="0" w:color="auto"/>
          </w:divBdr>
        </w:div>
        <w:div w:id="784883673">
          <w:marLeft w:val="0"/>
          <w:marRight w:val="0"/>
          <w:marTop w:val="0"/>
          <w:marBottom w:val="0"/>
          <w:divBdr>
            <w:top w:val="none" w:sz="0" w:space="0" w:color="auto"/>
            <w:left w:val="none" w:sz="0" w:space="0" w:color="auto"/>
            <w:bottom w:val="none" w:sz="0" w:space="0" w:color="auto"/>
            <w:right w:val="none" w:sz="0" w:space="0" w:color="auto"/>
          </w:divBdr>
        </w:div>
        <w:div w:id="555431704">
          <w:marLeft w:val="0"/>
          <w:marRight w:val="0"/>
          <w:marTop w:val="0"/>
          <w:marBottom w:val="0"/>
          <w:divBdr>
            <w:top w:val="none" w:sz="0" w:space="0" w:color="auto"/>
            <w:left w:val="none" w:sz="0" w:space="0" w:color="auto"/>
            <w:bottom w:val="none" w:sz="0" w:space="0" w:color="auto"/>
            <w:right w:val="none" w:sz="0" w:space="0" w:color="auto"/>
          </w:divBdr>
        </w:div>
      </w:divsChild>
    </w:div>
    <w:div w:id="469136103">
      <w:bodyDiv w:val="1"/>
      <w:marLeft w:val="0"/>
      <w:marRight w:val="0"/>
      <w:marTop w:val="0"/>
      <w:marBottom w:val="0"/>
      <w:divBdr>
        <w:top w:val="none" w:sz="0" w:space="0" w:color="auto"/>
        <w:left w:val="none" w:sz="0" w:space="0" w:color="auto"/>
        <w:bottom w:val="none" w:sz="0" w:space="0" w:color="auto"/>
        <w:right w:val="none" w:sz="0" w:space="0" w:color="auto"/>
      </w:divBdr>
    </w:div>
    <w:div w:id="587889921">
      <w:bodyDiv w:val="1"/>
      <w:marLeft w:val="0"/>
      <w:marRight w:val="0"/>
      <w:marTop w:val="0"/>
      <w:marBottom w:val="0"/>
      <w:divBdr>
        <w:top w:val="none" w:sz="0" w:space="0" w:color="auto"/>
        <w:left w:val="none" w:sz="0" w:space="0" w:color="auto"/>
        <w:bottom w:val="none" w:sz="0" w:space="0" w:color="auto"/>
        <w:right w:val="none" w:sz="0" w:space="0" w:color="auto"/>
      </w:divBdr>
      <w:divsChild>
        <w:div w:id="866716779">
          <w:marLeft w:val="0"/>
          <w:marRight w:val="0"/>
          <w:marTop w:val="0"/>
          <w:marBottom w:val="0"/>
          <w:divBdr>
            <w:top w:val="none" w:sz="0" w:space="0" w:color="auto"/>
            <w:left w:val="none" w:sz="0" w:space="0" w:color="auto"/>
            <w:bottom w:val="none" w:sz="0" w:space="0" w:color="auto"/>
            <w:right w:val="none" w:sz="0" w:space="0" w:color="auto"/>
          </w:divBdr>
        </w:div>
        <w:div w:id="2068840534">
          <w:marLeft w:val="0"/>
          <w:marRight w:val="0"/>
          <w:marTop w:val="0"/>
          <w:marBottom w:val="0"/>
          <w:divBdr>
            <w:top w:val="none" w:sz="0" w:space="0" w:color="auto"/>
            <w:left w:val="none" w:sz="0" w:space="0" w:color="auto"/>
            <w:bottom w:val="none" w:sz="0" w:space="0" w:color="auto"/>
            <w:right w:val="none" w:sz="0" w:space="0" w:color="auto"/>
          </w:divBdr>
        </w:div>
        <w:div w:id="1853566592">
          <w:marLeft w:val="0"/>
          <w:marRight w:val="0"/>
          <w:marTop w:val="0"/>
          <w:marBottom w:val="0"/>
          <w:divBdr>
            <w:top w:val="none" w:sz="0" w:space="0" w:color="auto"/>
            <w:left w:val="none" w:sz="0" w:space="0" w:color="auto"/>
            <w:bottom w:val="none" w:sz="0" w:space="0" w:color="auto"/>
            <w:right w:val="none" w:sz="0" w:space="0" w:color="auto"/>
          </w:divBdr>
        </w:div>
        <w:div w:id="2035572351">
          <w:marLeft w:val="0"/>
          <w:marRight w:val="0"/>
          <w:marTop w:val="0"/>
          <w:marBottom w:val="0"/>
          <w:divBdr>
            <w:top w:val="none" w:sz="0" w:space="0" w:color="auto"/>
            <w:left w:val="none" w:sz="0" w:space="0" w:color="auto"/>
            <w:bottom w:val="none" w:sz="0" w:space="0" w:color="auto"/>
            <w:right w:val="none" w:sz="0" w:space="0" w:color="auto"/>
          </w:divBdr>
        </w:div>
        <w:div w:id="1135873858">
          <w:marLeft w:val="0"/>
          <w:marRight w:val="0"/>
          <w:marTop w:val="0"/>
          <w:marBottom w:val="0"/>
          <w:divBdr>
            <w:top w:val="none" w:sz="0" w:space="0" w:color="auto"/>
            <w:left w:val="none" w:sz="0" w:space="0" w:color="auto"/>
            <w:bottom w:val="none" w:sz="0" w:space="0" w:color="auto"/>
            <w:right w:val="none" w:sz="0" w:space="0" w:color="auto"/>
          </w:divBdr>
        </w:div>
        <w:div w:id="1461873911">
          <w:marLeft w:val="0"/>
          <w:marRight w:val="0"/>
          <w:marTop w:val="0"/>
          <w:marBottom w:val="0"/>
          <w:divBdr>
            <w:top w:val="none" w:sz="0" w:space="0" w:color="auto"/>
            <w:left w:val="none" w:sz="0" w:space="0" w:color="auto"/>
            <w:bottom w:val="none" w:sz="0" w:space="0" w:color="auto"/>
            <w:right w:val="none" w:sz="0" w:space="0" w:color="auto"/>
          </w:divBdr>
        </w:div>
        <w:div w:id="1822648964">
          <w:marLeft w:val="0"/>
          <w:marRight w:val="0"/>
          <w:marTop w:val="0"/>
          <w:marBottom w:val="0"/>
          <w:divBdr>
            <w:top w:val="none" w:sz="0" w:space="0" w:color="auto"/>
            <w:left w:val="none" w:sz="0" w:space="0" w:color="auto"/>
            <w:bottom w:val="none" w:sz="0" w:space="0" w:color="auto"/>
            <w:right w:val="none" w:sz="0" w:space="0" w:color="auto"/>
          </w:divBdr>
        </w:div>
        <w:div w:id="1609385087">
          <w:marLeft w:val="0"/>
          <w:marRight w:val="0"/>
          <w:marTop w:val="0"/>
          <w:marBottom w:val="0"/>
          <w:divBdr>
            <w:top w:val="none" w:sz="0" w:space="0" w:color="auto"/>
            <w:left w:val="none" w:sz="0" w:space="0" w:color="auto"/>
            <w:bottom w:val="none" w:sz="0" w:space="0" w:color="auto"/>
            <w:right w:val="none" w:sz="0" w:space="0" w:color="auto"/>
          </w:divBdr>
        </w:div>
        <w:div w:id="1695305612">
          <w:marLeft w:val="0"/>
          <w:marRight w:val="0"/>
          <w:marTop w:val="0"/>
          <w:marBottom w:val="0"/>
          <w:divBdr>
            <w:top w:val="none" w:sz="0" w:space="0" w:color="auto"/>
            <w:left w:val="none" w:sz="0" w:space="0" w:color="auto"/>
            <w:bottom w:val="none" w:sz="0" w:space="0" w:color="auto"/>
            <w:right w:val="none" w:sz="0" w:space="0" w:color="auto"/>
          </w:divBdr>
        </w:div>
        <w:div w:id="1577665800">
          <w:marLeft w:val="0"/>
          <w:marRight w:val="0"/>
          <w:marTop w:val="0"/>
          <w:marBottom w:val="0"/>
          <w:divBdr>
            <w:top w:val="none" w:sz="0" w:space="0" w:color="auto"/>
            <w:left w:val="none" w:sz="0" w:space="0" w:color="auto"/>
            <w:bottom w:val="none" w:sz="0" w:space="0" w:color="auto"/>
            <w:right w:val="none" w:sz="0" w:space="0" w:color="auto"/>
          </w:divBdr>
        </w:div>
        <w:div w:id="1920362199">
          <w:marLeft w:val="0"/>
          <w:marRight w:val="0"/>
          <w:marTop w:val="0"/>
          <w:marBottom w:val="0"/>
          <w:divBdr>
            <w:top w:val="none" w:sz="0" w:space="0" w:color="auto"/>
            <w:left w:val="none" w:sz="0" w:space="0" w:color="auto"/>
            <w:bottom w:val="none" w:sz="0" w:space="0" w:color="auto"/>
            <w:right w:val="none" w:sz="0" w:space="0" w:color="auto"/>
          </w:divBdr>
        </w:div>
        <w:div w:id="1743990267">
          <w:marLeft w:val="0"/>
          <w:marRight w:val="0"/>
          <w:marTop w:val="0"/>
          <w:marBottom w:val="0"/>
          <w:divBdr>
            <w:top w:val="none" w:sz="0" w:space="0" w:color="auto"/>
            <w:left w:val="none" w:sz="0" w:space="0" w:color="auto"/>
            <w:bottom w:val="none" w:sz="0" w:space="0" w:color="auto"/>
            <w:right w:val="none" w:sz="0" w:space="0" w:color="auto"/>
          </w:divBdr>
        </w:div>
        <w:div w:id="181823336">
          <w:marLeft w:val="0"/>
          <w:marRight w:val="0"/>
          <w:marTop w:val="0"/>
          <w:marBottom w:val="0"/>
          <w:divBdr>
            <w:top w:val="none" w:sz="0" w:space="0" w:color="auto"/>
            <w:left w:val="none" w:sz="0" w:space="0" w:color="auto"/>
            <w:bottom w:val="none" w:sz="0" w:space="0" w:color="auto"/>
            <w:right w:val="none" w:sz="0" w:space="0" w:color="auto"/>
          </w:divBdr>
        </w:div>
        <w:div w:id="425619578">
          <w:marLeft w:val="0"/>
          <w:marRight w:val="0"/>
          <w:marTop w:val="0"/>
          <w:marBottom w:val="0"/>
          <w:divBdr>
            <w:top w:val="none" w:sz="0" w:space="0" w:color="auto"/>
            <w:left w:val="none" w:sz="0" w:space="0" w:color="auto"/>
            <w:bottom w:val="none" w:sz="0" w:space="0" w:color="auto"/>
            <w:right w:val="none" w:sz="0" w:space="0" w:color="auto"/>
          </w:divBdr>
        </w:div>
        <w:div w:id="848645723">
          <w:marLeft w:val="0"/>
          <w:marRight w:val="0"/>
          <w:marTop w:val="0"/>
          <w:marBottom w:val="0"/>
          <w:divBdr>
            <w:top w:val="none" w:sz="0" w:space="0" w:color="auto"/>
            <w:left w:val="none" w:sz="0" w:space="0" w:color="auto"/>
            <w:bottom w:val="none" w:sz="0" w:space="0" w:color="auto"/>
            <w:right w:val="none" w:sz="0" w:space="0" w:color="auto"/>
          </w:divBdr>
        </w:div>
        <w:div w:id="509948948">
          <w:marLeft w:val="0"/>
          <w:marRight w:val="0"/>
          <w:marTop w:val="0"/>
          <w:marBottom w:val="0"/>
          <w:divBdr>
            <w:top w:val="none" w:sz="0" w:space="0" w:color="auto"/>
            <w:left w:val="none" w:sz="0" w:space="0" w:color="auto"/>
            <w:bottom w:val="none" w:sz="0" w:space="0" w:color="auto"/>
            <w:right w:val="none" w:sz="0" w:space="0" w:color="auto"/>
          </w:divBdr>
        </w:div>
        <w:div w:id="105152315">
          <w:marLeft w:val="0"/>
          <w:marRight w:val="0"/>
          <w:marTop w:val="0"/>
          <w:marBottom w:val="0"/>
          <w:divBdr>
            <w:top w:val="none" w:sz="0" w:space="0" w:color="auto"/>
            <w:left w:val="none" w:sz="0" w:space="0" w:color="auto"/>
            <w:bottom w:val="none" w:sz="0" w:space="0" w:color="auto"/>
            <w:right w:val="none" w:sz="0" w:space="0" w:color="auto"/>
          </w:divBdr>
        </w:div>
        <w:div w:id="740753999">
          <w:marLeft w:val="0"/>
          <w:marRight w:val="0"/>
          <w:marTop w:val="0"/>
          <w:marBottom w:val="0"/>
          <w:divBdr>
            <w:top w:val="none" w:sz="0" w:space="0" w:color="auto"/>
            <w:left w:val="none" w:sz="0" w:space="0" w:color="auto"/>
            <w:bottom w:val="none" w:sz="0" w:space="0" w:color="auto"/>
            <w:right w:val="none" w:sz="0" w:space="0" w:color="auto"/>
          </w:divBdr>
        </w:div>
        <w:div w:id="205143765">
          <w:marLeft w:val="0"/>
          <w:marRight w:val="0"/>
          <w:marTop w:val="0"/>
          <w:marBottom w:val="0"/>
          <w:divBdr>
            <w:top w:val="none" w:sz="0" w:space="0" w:color="auto"/>
            <w:left w:val="none" w:sz="0" w:space="0" w:color="auto"/>
            <w:bottom w:val="none" w:sz="0" w:space="0" w:color="auto"/>
            <w:right w:val="none" w:sz="0" w:space="0" w:color="auto"/>
          </w:divBdr>
        </w:div>
        <w:div w:id="2033073395">
          <w:marLeft w:val="0"/>
          <w:marRight w:val="0"/>
          <w:marTop w:val="0"/>
          <w:marBottom w:val="0"/>
          <w:divBdr>
            <w:top w:val="none" w:sz="0" w:space="0" w:color="auto"/>
            <w:left w:val="none" w:sz="0" w:space="0" w:color="auto"/>
            <w:bottom w:val="none" w:sz="0" w:space="0" w:color="auto"/>
            <w:right w:val="none" w:sz="0" w:space="0" w:color="auto"/>
          </w:divBdr>
        </w:div>
        <w:div w:id="1499886066">
          <w:marLeft w:val="0"/>
          <w:marRight w:val="0"/>
          <w:marTop w:val="0"/>
          <w:marBottom w:val="0"/>
          <w:divBdr>
            <w:top w:val="none" w:sz="0" w:space="0" w:color="auto"/>
            <w:left w:val="none" w:sz="0" w:space="0" w:color="auto"/>
            <w:bottom w:val="none" w:sz="0" w:space="0" w:color="auto"/>
            <w:right w:val="none" w:sz="0" w:space="0" w:color="auto"/>
          </w:divBdr>
        </w:div>
        <w:div w:id="81685760">
          <w:marLeft w:val="0"/>
          <w:marRight w:val="0"/>
          <w:marTop w:val="0"/>
          <w:marBottom w:val="0"/>
          <w:divBdr>
            <w:top w:val="none" w:sz="0" w:space="0" w:color="auto"/>
            <w:left w:val="none" w:sz="0" w:space="0" w:color="auto"/>
            <w:bottom w:val="none" w:sz="0" w:space="0" w:color="auto"/>
            <w:right w:val="none" w:sz="0" w:space="0" w:color="auto"/>
          </w:divBdr>
        </w:div>
        <w:div w:id="1198008997">
          <w:marLeft w:val="0"/>
          <w:marRight w:val="0"/>
          <w:marTop w:val="0"/>
          <w:marBottom w:val="0"/>
          <w:divBdr>
            <w:top w:val="none" w:sz="0" w:space="0" w:color="auto"/>
            <w:left w:val="none" w:sz="0" w:space="0" w:color="auto"/>
            <w:bottom w:val="none" w:sz="0" w:space="0" w:color="auto"/>
            <w:right w:val="none" w:sz="0" w:space="0" w:color="auto"/>
          </w:divBdr>
        </w:div>
        <w:div w:id="112213217">
          <w:marLeft w:val="0"/>
          <w:marRight w:val="0"/>
          <w:marTop w:val="0"/>
          <w:marBottom w:val="0"/>
          <w:divBdr>
            <w:top w:val="none" w:sz="0" w:space="0" w:color="auto"/>
            <w:left w:val="none" w:sz="0" w:space="0" w:color="auto"/>
            <w:bottom w:val="none" w:sz="0" w:space="0" w:color="auto"/>
            <w:right w:val="none" w:sz="0" w:space="0" w:color="auto"/>
          </w:divBdr>
        </w:div>
        <w:div w:id="611401303">
          <w:marLeft w:val="0"/>
          <w:marRight w:val="0"/>
          <w:marTop w:val="0"/>
          <w:marBottom w:val="0"/>
          <w:divBdr>
            <w:top w:val="none" w:sz="0" w:space="0" w:color="auto"/>
            <w:left w:val="none" w:sz="0" w:space="0" w:color="auto"/>
            <w:bottom w:val="none" w:sz="0" w:space="0" w:color="auto"/>
            <w:right w:val="none" w:sz="0" w:space="0" w:color="auto"/>
          </w:divBdr>
        </w:div>
        <w:div w:id="408160303">
          <w:marLeft w:val="0"/>
          <w:marRight w:val="0"/>
          <w:marTop w:val="0"/>
          <w:marBottom w:val="0"/>
          <w:divBdr>
            <w:top w:val="none" w:sz="0" w:space="0" w:color="auto"/>
            <w:left w:val="none" w:sz="0" w:space="0" w:color="auto"/>
            <w:bottom w:val="none" w:sz="0" w:space="0" w:color="auto"/>
            <w:right w:val="none" w:sz="0" w:space="0" w:color="auto"/>
          </w:divBdr>
        </w:div>
        <w:div w:id="1889145444">
          <w:marLeft w:val="0"/>
          <w:marRight w:val="0"/>
          <w:marTop w:val="0"/>
          <w:marBottom w:val="0"/>
          <w:divBdr>
            <w:top w:val="none" w:sz="0" w:space="0" w:color="auto"/>
            <w:left w:val="none" w:sz="0" w:space="0" w:color="auto"/>
            <w:bottom w:val="none" w:sz="0" w:space="0" w:color="auto"/>
            <w:right w:val="none" w:sz="0" w:space="0" w:color="auto"/>
          </w:divBdr>
        </w:div>
        <w:div w:id="397943030">
          <w:marLeft w:val="0"/>
          <w:marRight w:val="0"/>
          <w:marTop w:val="0"/>
          <w:marBottom w:val="0"/>
          <w:divBdr>
            <w:top w:val="none" w:sz="0" w:space="0" w:color="auto"/>
            <w:left w:val="none" w:sz="0" w:space="0" w:color="auto"/>
            <w:bottom w:val="none" w:sz="0" w:space="0" w:color="auto"/>
            <w:right w:val="none" w:sz="0" w:space="0" w:color="auto"/>
          </w:divBdr>
        </w:div>
        <w:div w:id="355929642">
          <w:marLeft w:val="0"/>
          <w:marRight w:val="0"/>
          <w:marTop w:val="0"/>
          <w:marBottom w:val="0"/>
          <w:divBdr>
            <w:top w:val="none" w:sz="0" w:space="0" w:color="auto"/>
            <w:left w:val="none" w:sz="0" w:space="0" w:color="auto"/>
            <w:bottom w:val="none" w:sz="0" w:space="0" w:color="auto"/>
            <w:right w:val="none" w:sz="0" w:space="0" w:color="auto"/>
          </w:divBdr>
        </w:div>
        <w:div w:id="1939560887">
          <w:marLeft w:val="0"/>
          <w:marRight w:val="0"/>
          <w:marTop w:val="0"/>
          <w:marBottom w:val="0"/>
          <w:divBdr>
            <w:top w:val="none" w:sz="0" w:space="0" w:color="auto"/>
            <w:left w:val="none" w:sz="0" w:space="0" w:color="auto"/>
            <w:bottom w:val="none" w:sz="0" w:space="0" w:color="auto"/>
            <w:right w:val="none" w:sz="0" w:space="0" w:color="auto"/>
          </w:divBdr>
        </w:div>
        <w:div w:id="1468737405">
          <w:marLeft w:val="0"/>
          <w:marRight w:val="0"/>
          <w:marTop w:val="0"/>
          <w:marBottom w:val="0"/>
          <w:divBdr>
            <w:top w:val="none" w:sz="0" w:space="0" w:color="auto"/>
            <w:left w:val="none" w:sz="0" w:space="0" w:color="auto"/>
            <w:bottom w:val="none" w:sz="0" w:space="0" w:color="auto"/>
            <w:right w:val="none" w:sz="0" w:space="0" w:color="auto"/>
          </w:divBdr>
        </w:div>
        <w:div w:id="1790200500">
          <w:marLeft w:val="0"/>
          <w:marRight w:val="0"/>
          <w:marTop w:val="0"/>
          <w:marBottom w:val="0"/>
          <w:divBdr>
            <w:top w:val="none" w:sz="0" w:space="0" w:color="auto"/>
            <w:left w:val="none" w:sz="0" w:space="0" w:color="auto"/>
            <w:bottom w:val="none" w:sz="0" w:space="0" w:color="auto"/>
            <w:right w:val="none" w:sz="0" w:space="0" w:color="auto"/>
          </w:divBdr>
        </w:div>
        <w:div w:id="1768427192">
          <w:marLeft w:val="0"/>
          <w:marRight w:val="0"/>
          <w:marTop w:val="0"/>
          <w:marBottom w:val="0"/>
          <w:divBdr>
            <w:top w:val="none" w:sz="0" w:space="0" w:color="auto"/>
            <w:left w:val="none" w:sz="0" w:space="0" w:color="auto"/>
            <w:bottom w:val="none" w:sz="0" w:space="0" w:color="auto"/>
            <w:right w:val="none" w:sz="0" w:space="0" w:color="auto"/>
          </w:divBdr>
        </w:div>
        <w:div w:id="624191529">
          <w:marLeft w:val="0"/>
          <w:marRight w:val="0"/>
          <w:marTop w:val="0"/>
          <w:marBottom w:val="0"/>
          <w:divBdr>
            <w:top w:val="none" w:sz="0" w:space="0" w:color="auto"/>
            <w:left w:val="none" w:sz="0" w:space="0" w:color="auto"/>
            <w:bottom w:val="none" w:sz="0" w:space="0" w:color="auto"/>
            <w:right w:val="none" w:sz="0" w:space="0" w:color="auto"/>
          </w:divBdr>
        </w:div>
        <w:div w:id="283467439">
          <w:marLeft w:val="0"/>
          <w:marRight w:val="0"/>
          <w:marTop w:val="0"/>
          <w:marBottom w:val="0"/>
          <w:divBdr>
            <w:top w:val="none" w:sz="0" w:space="0" w:color="auto"/>
            <w:left w:val="none" w:sz="0" w:space="0" w:color="auto"/>
            <w:bottom w:val="none" w:sz="0" w:space="0" w:color="auto"/>
            <w:right w:val="none" w:sz="0" w:space="0" w:color="auto"/>
          </w:divBdr>
        </w:div>
        <w:div w:id="1933737564">
          <w:marLeft w:val="0"/>
          <w:marRight w:val="0"/>
          <w:marTop w:val="0"/>
          <w:marBottom w:val="0"/>
          <w:divBdr>
            <w:top w:val="none" w:sz="0" w:space="0" w:color="auto"/>
            <w:left w:val="none" w:sz="0" w:space="0" w:color="auto"/>
            <w:bottom w:val="none" w:sz="0" w:space="0" w:color="auto"/>
            <w:right w:val="none" w:sz="0" w:space="0" w:color="auto"/>
          </w:divBdr>
        </w:div>
        <w:div w:id="748313954">
          <w:marLeft w:val="0"/>
          <w:marRight w:val="0"/>
          <w:marTop w:val="0"/>
          <w:marBottom w:val="0"/>
          <w:divBdr>
            <w:top w:val="none" w:sz="0" w:space="0" w:color="auto"/>
            <w:left w:val="none" w:sz="0" w:space="0" w:color="auto"/>
            <w:bottom w:val="none" w:sz="0" w:space="0" w:color="auto"/>
            <w:right w:val="none" w:sz="0" w:space="0" w:color="auto"/>
          </w:divBdr>
        </w:div>
        <w:div w:id="444736199">
          <w:marLeft w:val="0"/>
          <w:marRight w:val="0"/>
          <w:marTop w:val="0"/>
          <w:marBottom w:val="0"/>
          <w:divBdr>
            <w:top w:val="none" w:sz="0" w:space="0" w:color="auto"/>
            <w:left w:val="none" w:sz="0" w:space="0" w:color="auto"/>
            <w:bottom w:val="none" w:sz="0" w:space="0" w:color="auto"/>
            <w:right w:val="none" w:sz="0" w:space="0" w:color="auto"/>
          </w:divBdr>
        </w:div>
        <w:div w:id="1147865961">
          <w:marLeft w:val="0"/>
          <w:marRight w:val="0"/>
          <w:marTop w:val="0"/>
          <w:marBottom w:val="0"/>
          <w:divBdr>
            <w:top w:val="none" w:sz="0" w:space="0" w:color="auto"/>
            <w:left w:val="none" w:sz="0" w:space="0" w:color="auto"/>
            <w:bottom w:val="none" w:sz="0" w:space="0" w:color="auto"/>
            <w:right w:val="none" w:sz="0" w:space="0" w:color="auto"/>
          </w:divBdr>
        </w:div>
        <w:div w:id="1086920229">
          <w:marLeft w:val="0"/>
          <w:marRight w:val="0"/>
          <w:marTop w:val="0"/>
          <w:marBottom w:val="0"/>
          <w:divBdr>
            <w:top w:val="none" w:sz="0" w:space="0" w:color="auto"/>
            <w:left w:val="none" w:sz="0" w:space="0" w:color="auto"/>
            <w:bottom w:val="none" w:sz="0" w:space="0" w:color="auto"/>
            <w:right w:val="none" w:sz="0" w:space="0" w:color="auto"/>
          </w:divBdr>
        </w:div>
        <w:div w:id="390274146">
          <w:marLeft w:val="0"/>
          <w:marRight w:val="0"/>
          <w:marTop w:val="0"/>
          <w:marBottom w:val="0"/>
          <w:divBdr>
            <w:top w:val="none" w:sz="0" w:space="0" w:color="auto"/>
            <w:left w:val="none" w:sz="0" w:space="0" w:color="auto"/>
            <w:bottom w:val="none" w:sz="0" w:space="0" w:color="auto"/>
            <w:right w:val="none" w:sz="0" w:space="0" w:color="auto"/>
          </w:divBdr>
        </w:div>
        <w:div w:id="2102950448">
          <w:marLeft w:val="0"/>
          <w:marRight w:val="0"/>
          <w:marTop w:val="0"/>
          <w:marBottom w:val="0"/>
          <w:divBdr>
            <w:top w:val="none" w:sz="0" w:space="0" w:color="auto"/>
            <w:left w:val="none" w:sz="0" w:space="0" w:color="auto"/>
            <w:bottom w:val="none" w:sz="0" w:space="0" w:color="auto"/>
            <w:right w:val="none" w:sz="0" w:space="0" w:color="auto"/>
          </w:divBdr>
        </w:div>
        <w:div w:id="801726833">
          <w:marLeft w:val="0"/>
          <w:marRight w:val="0"/>
          <w:marTop w:val="0"/>
          <w:marBottom w:val="0"/>
          <w:divBdr>
            <w:top w:val="none" w:sz="0" w:space="0" w:color="auto"/>
            <w:left w:val="none" w:sz="0" w:space="0" w:color="auto"/>
            <w:bottom w:val="none" w:sz="0" w:space="0" w:color="auto"/>
            <w:right w:val="none" w:sz="0" w:space="0" w:color="auto"/>
          </w:divBdr>
        </w:div>
        <w:div w:id="1346901793">
          <w:marLeft w:val="0"/>
          <w:marRight w:val="0"/>
          <w:marTop w:val="0"/>
          <w:marBottom w:val="0"/>
          <w:divBdr>
            <w:top w:val="none" w:sz="0" w:space="0" w:color="auto"/>
            <w:left w:val="none" w:sz="0" w:space="0" w:color="auto"/>
            <w:bottom w:val="none" w:sz="0" w:space="0" w:color="auto"/>
            <w:right w:val="none" w:sz="0" w:space="0" w:color="auto"/>
          </w:divBdr>
        </w:div>
        <w:div w:id="1341808099">
          <w:marLeft w:val="0"/>
          <w:marRight w:val="0"/>
          <w:marTop w:val="0"/>
          <w:marBottom w:val="0"/>
          <w:divBdr>
            <w:top w:val="none" w:sz="0" w:space="0" w:color="auto"/>
            <w:left w:val="none" w:sz="0" w:space="0" w:color="auto"/>
            <w:bottom w:val="none" w:sz="0" w:space="0" w:color="auto"/>
            <w:right w:val="none" w:sz="0" w:space="0" w:color="auto"/>
          </w:divBdr>
        </w:div>
        <w:div w:id="1588417911">
          <w:marLeft w:val="0"/>
          <w:marRight w:val="0"/>
          <w:marTop w:val="0"/>
          <w:marBottom w:val="0"/>
          <w:divBdr>
            <w:top w:val="none" w:sz="0" w:space="0" w:color="auto"/>
            <w:left w:val="none" w:sz="0" w:space="0" w:color="auto"/>
            <w:bottom w:val="none" w:sz="0" w:space="0" w:color="auto"/>
            <w:right w:val="none" w:sz="0" w:space="0" w:color="auto"/>
          </w:divBdr>
        </w:div>
        <w:div w:id="1678921247">
          <w:marLeft w:val="0"/>
          <w:marRight w:val="0"/>
          <w:marTop w:val="0"/>
          <w:marBottom w:val="0"/>
          <w:divBdr>
            <w:top w:val="none" w:sz="0" w:space="0" w:color="auto"/>
            <w:left w:val="none" w:sz="0" w:space="0" w:color="auto"/>
            <w:bottom w:val="none" w:sz="0" w:space="0" w:color="auto"/>
            <w:right w:val="none" w:sz="0" w:space="0" w:color="auto"/>
          </w:divBdr>
        </w:div>
        <w:div w:id="501046345">
          <w:marLeft w:val="0"/>
          <w:marRight w:val="0"/>
          <w:marTop w:val="0"/>
          <w:marBottom w:val="0"/>
          <w:divBdr>
            <w:top w:val="none" w:sz="0" w:space="0" w:color="auto"/>
            <w:left w:val="none" w:sz="0" w:space="0" w:color="auto"/>
            <w:bottom w:val="none" w:sz="0" w:space="0" w:color="auto"/>
            <w:right w:val="none" w:sz="0" w:space="0" w:color="auto"/>
          </w:divBdr>
        </w:div>
        <w:div w:id="161970784">
          <w:marLeft w:val="0"/>
          <w:marRight w:val="0"/>
          <w:marTop w:val="0"/>
          <w:marBottom w:val="0"/>
          <w:divBdr>
            <w:top w:val="none" w:sz="0" w:space="0" w:color="auto"/>
            <w:left w:val="none" w:sz="0" w:space="0" w:color="auto"/>
            <w:bottom w:val="none" w:sz="0" w:space="0" w:color="auto"/>
            <w:right w:val="none" w:sz="0" w:space="0" w:color="auto"/>
          </w:divBdr>
        </w:div>
        <w:div w:id="1483233704">
          <w:marLeft w:val="0"/>
          <w:marRight w:val="0"/>
          <w:marTop w:val="0"/>
          <w:marBottom w:val="0"/>
          <w:divBdr>
            <w:top w:val="none" w:sz="0" w:space="0" w:color="auto"/>
            <w:left w:val="none" w:sz="0" w:space="0" w:color="auto"/>
            <w:bottom w:val="none" w:sz="0" w:space="0" w:color="auto"/>
            <w:right w:val="none" w:sz="0" w:space="0" w:color="auto"/>
          </w:divBdr>
        </w:div>
      </w:divsChild>
    </w:div>
    <w:div w:id="636567700">
      <w:bodyDiv w:val="1"/>
      <w:marLeft w:val="0"/>
      <w:marRight w:val="0"/>
      <w:marTop w:val="0"/>
      <w:marBottom w:val="0"/>
      <w:divBdr>
        <w:top w:val="none" w:sz="0" w:space="0" w:color="auto"/>
        <w:left w:val="none" w:sz="0" w:space="0" w:color="auto"/>
        <w:bottom w:val="none" w:sz="0" w:space="0" w:color="auto"/>
        <w:right w:val="none" w:sz="0" w:space="0" w:color="auto"/>
      </w:divBdr>
      <w:divsChild>
        <w:div w:id="1235969778">
          <w:marLeft w:val="0"/>
          <w:marRight w:val="0"/>
          <w:marTop w:val="0"/>
          <w:marBottom w:val="0"/>
          <w:divBdr>
            <w:top w:val="none" w:sz="0" w:space="0" w:color="auto"/>
            <w:left w:val="none" w:sz="0" w:space="0" w:color="auto"/>
            <w:bottom w:val="none" w:sz="0" w:space="0" w:color="auto"/>
            <w:right w:val="none" w:sz="0" w:space="0" w:color="auto"/>
          </w:divBdr>
        </w:div>
        <w:div w:id="1776363671">
          <w:marLeft w:val="0"/>
          <w:marRight w:val="0"/>
          <w:marTop w:val="0"/>
          <w:marBottom w:val="0"/>
          <w:divBdr>
            <w:top w:val="none" w:sz="0" w:space="0" w:color="auto"/>
            <w:left w:val="none" w:sz="0" w:space="0" w:color="auto"/>
            <w:bottom w:val="none" w:sz="0" w:space="0" w:color="auto"/>
            <w:right w:val="none" w:sz="0" w:space="0" w:color="auto"/>
          </w:divBdr>
        </w:div>
        <w:div w:id="707216646">
          <w:marLeft w:val="0"/>
          <w:marRight w:val="0"/>
          <w:marTop w:val="0"/>
          <w:marBottom w:val="0"/>
          <w:divBdr>
            <w:top w:val="none" w:sz="0" w:space="0" w:color="auto"/>
            <w:left w:val="none" w:sz="0" w:space="0" w:color="auto"/>
            <w:bottom w:val="none" w:sz="0" w:space="0" w:color="auto"/>
            <w:right w:val="none" w:sz="0" w:space="0" w:color="auto"/>
          </w:divBdr>
        </w:div>
      </w:divsChild>
    </w:div>
    <w:div w:id="723724794">
      <w:bodyDiv w:val="1"/>
      <w:marLeft w:val="0"/>
      <w:marRight w:val="0"/>
      <w:marTop w:val="0"/>
      <w:marBottom w:val="0"/>
      <w:divBdr>
        <w:top w:val="none" w:sz="0" w:space="0" w:color="auto"/>
        <w:left w:val="none" w:sz="0" w:space="0" w:color="auto"/>
        <w:bottom w:val="none" w:sz="0" w:space="0" w:color="auto"/>
        <w:right w:val="none" w:sz="0" w:space="0" w:color="auto"/>
      </w:divBdr>
      <w:divsChild>
        <w:div w:id="686834678">
          <w:marLeft w:val="0"/>
          <w:marRight w:val="0"/>
          <w:marTop w:val="0"/>
          <w:marBottom w:val="0"/>
          <w:divBdr>
            <w:top w:val="none" w:sz="0" w:space="0" w:color="auto"/>
            <w:left w:val="none" w:sz="0" w:space="0" w:color="auto"/>
            <w:bottom w:val="none" w:sz="0" w:space="0" w:color="auto"/>
            <w:right w:val="none" w:sz="0" w:space="0" w:color="auto"/>
          </w:divBdr>
        </w:div>
        <w:div w:id="1038628761">
          <w:marLeft w:val="0"/>
          <w:marRight w:val="0"/>
          <w:marTop w:val="0"/>
          <w:marBottom w:val="0"/>
          <w:divBdr>
            <w:top w:val="none" w:sz="0" w:space="0" w:color="auto"/>
            <w:left w:val="none" w:sz="0" w:space="0" w:color="auto"/>
            <w:bottom w:val="none" w:sz="0" w:space="0" w:color="auto"/>
            <w:right w:val="none" w:sz="0" w:space="0" w:color="auto"/>
          </w:divBdr>
        </w:div>
        <w:div w:id="180630573">
          <w:marLeft w:val="0"/>
          <w:marRight w:val="0"/>
          <w:marTop w:val="0"/>
          <w:marBottom w:val="0"/>
          <w:divBdr>
            <w:top w:val="none" w:sz="0" w:space="0" w:color="auto"/>
            <w:left w:val="none" w:sz="0" w:space="0" w:color="auto"/>
            <w:bottom w:val="none" w:sz="0" w:space="0" w:color="auto"/>
            <w:right w:val="none" w:sz="0" w:space="0" w:color="auto"/>
          </w:divBdr>
        </w:div>
        <w:div w:id="945884738">
          <w:marLeft w:val="0"/>
          <w:marRight w:val="0"/>
          <w:marTop w:val="0"/>
          <w:marBottom w:val="0"/>
          <w:divBdr>
            <w:top w:val="none" w:sz="0" w:space="0" w:color="auto"/>
            <w:left w:val="none" w:sz="0" w:space="0" w:color="auto"/>
            <w:bottom w:val="none" w:sz="0" w:space="0" w:color="auto"/>
            <w:right w:val="none" w:sz="0" w:space="0" w:color="auto"/>
          </w:divBdr>
        </w:div>
        <w:div w:id="1951357362">
          <w:marLeft w:val="0"/>
          <w:marRight w:val="0"/>
          <w:marTop w:val="0"/>
          <w:marBottom w:val="0"/>
          <w:divBdr>
            <w:top w:val="none" w:sz="0" w:space="0" w:color="auto"/>
            <w:left w:val="none" w:sz="0" w:space="0" w:color="auto"/>
            <w:bottom w:val="none" w:sz="0" w:space="0" w:color="auto"/>
            <w:right w:val="none" w:sz="0" w:space="0" w:color="auto"/>
          </w:divBdr>
        </w:div>
        <w:div w:id="345210645">
          <w:marLeft w:val="0"/>
          <w:marRight w:val="0"/>
          <w:marTop w:val="0"/>
          <w:marBottom w:val="0"/>
          <w:divBdr>
            <w:top w:val="none" w:sz="0" w:space="0" w:color="auto"/>
            <w:left w:val="none" w:sz="0" w:space="0" w:color="auto"/>
            <w:bottom w:val="none" w:sz="0" w:space="0" w:color="auto"/>
            <w:right w:val="none" w:sz="0" w:space="0" w:color="auto"/>
          </w:divBdr>
        </w:div>
        <w:div w:id="154882135">
          <w:marLeft w:val="0"/>
          <w:marRight w:val="0"/>
          <w:marTop w:val="0"/>
          <w:marBottom w:val="0"/>
          <w:divBdr>
            <w:top w:val="none" w:sz="0" w:space="0" w:color="auto"/>
            <w:left w:val="none" w:sz="0" w:space="0" w:color="auto"/>
            <w:bottom w:val="none" w:sz="0" w:space="0" w:color="auto"/>
            <w:right w:val="none" w:sz="0" w:space="0" w:color="auto"/>
          </w:divBdr>
        </w:div>
      </w:divsChild>
    </w:div>
    <w:div w:id="949507563">
      <w:bodyDiv w:val="1"/>
      <w:marLeft w:val="0"/>
      <w:marRight w:val="0"/>
      <w:marTop w:val="0"/>
      <w:marBottom w:val="0"/>
      <w:divBdr>
        <w:top w:val="none" w:sz="0" w:space="0" w:color="auto"/>
        <w:left w:val="none" w:sz="0" w:space="0" w:color="auto"/>
        <w:bottom w:val="none" w:sz="0" w:space="0" w:color="auto"/>
        <w:right w:val="none" w:sz="0" w:space="0" w:color="auto"/>
      </w:divBdr>
      <w:divsChild>
        <w:div w:id="421150278">
          <w:marLeft w:val="0"/>
          <w:marRight w:val="0"/>
          <w:marTop w:val="0"/>
          <w:marBottom w:val="0"/>
          <w:divBdr>
            <w:top w:val="none" w:sz="0" w:space="0" w:color="auto"/>
            <w:left w:val="none" w:sz="0" w:space="0" w:color="auto"/>
            <w:bottom w:val="none" w:sz="0" w:space="0" w:color="auto"/>
            <w:right w:val="none" w:sz="0" w:space="0" w:color="auto"/>
          </w:divBdr>
        </w:div>
        <w:div w:id="576475787">
          <w:marLeft w:val="0"/>
          <w:marRight w:val="0"/>
          <w:marTop w:val="0"/>
          <w:marBottom w:val="0"/>
          <w:divBdr>
            <w:top w:val="none" w:sz="0" w:space="0" w:color="auto"/>
            <w:left w:val="none" w:sz="0" w:space="0" w:color="auto"/>
            <w:bottom w:val="none" w:sz="0" w:space="0" w:color="auto"/>
            <w:right w:val="none" w:sz="0" w:space="0" w:color="auto"/>
          </w:divBdr>
        </w:div>
        <w:div w:id="1075855289">
          <w:marLeft w:val="0"/>
          <w:marRight w:val="0"/>
          <w:marTop w:val="0"/>
          <w:marBottom w:val="0"/>
          <w:divBdr>
            <w:top w:val="none" w:sz="0" w:space="0" w:color="auto"/>
            <w:left w:val="none" w:sz="0" w:space="0" w:color="auto"/>
            <w:bottom w:val="none" w:sz="0" w:space="0" w:color="auto"/>
            <w:right w:val="none" w:sz="0" w:space="0" w:color="auto"/>
          </w:divBdr>
        </w:div>
      </w:divsChild>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221015050">
      <w:bodyDiv w:val="1"/>
      <w:marLeft w:val="0"/>
      <w:marRight w:val="0"/>
      <w:marTop w:val="0"/>
      <w:marBottom w:val="0"/>
      <w:divBdr>
        <w:top w:val="none" w:sz="0" w:space="0" w:color="auto"/>
        <w:left w:val="none" w:sz="0" w:space="0" w:color="auto"/>
        <w:bottom w:val="none" w:sz="0" w:space="0" w:color="auto"/>
        <w:right w:val="none" w:sz="0" w:space="0" w:color="auto"/>
      </w:divBdr>
      <w:divsChild>
        <w:div w:id="1213688207">
          <w:marLeft w:val="0"/>
          <w:marRight w:val="0"/>
          <w:marTop w:val="0"/>
          <w:marBottom w:val="0"/>
          <w:divBdr>
            <w:top w:val="none" w:sz="0" w:space="0" w:color="auto"/>
            <w:left w:val="none" w:sz="0" w:space="0" w:color="auto"/>
            <w:bottom w:val="none" w:sz="0" w:space="0" w:color="auto"/>
            <w:right w:val="none" w:sz="0" w:space="0" w:color="auto"/>
          </w:divBdr>
        </w:div>
        <w:div w:id="819468375">
          <w:marLeft w:val="0"/>
          <w:marRight w:val="0"/>
          <w:marTop w:val="0"/>
          <w:marBottom w:val="0"/>
          <w:divBdr>
            <w:top w:val="none" w:sz="0" w:space="0" w:color="auto"/>
            <w:left w:val="none" w:sz="0" w:space="0" w:color="auto"/>
            <w:bottom w:val="none" w:sz="0" w:space="0" w:color="auto"/>
            <w:right w:val="none" w:sz="0" w:space="0" w:color="auto"/>
          </w:divBdr>
        </w:div>
      </w:divsChild>
    </w:div>
    <w:div w:id="1409035529">
      <w:bodyDiv w:val="1"/>
      <w:marLeft w:val="0"/>
      <w:marRight w:val="0"/>
      <w:marTop w:val="0"/>
      <w:marBottom w:val="0"/>
      <w:divBdr>
        <w:top w:val="none" w:sz="0" w:space="0" w:color="auto"/>
        <w:left w:val="none" w:sz="0" w:space="0" w:color="auto"/>
        <w:bottom w:val="none" w:sz="0" w:space="0" w:color="auto"/>
        <w:right w:val="none" w:sz="0" w:space="0" w:color="auto"/>
      </w:divBdr>
      <w:divsChild>
        <w:div w:id="715396069">
          <w:marLeft w:val="0"/>
          <w:marRight w:val="0"/>
          <w:marTop w:val="0"/>
          <w:marBottom w:val="0"/>
          <w:divBdr>
            <w:top w:val="none" w:sz="0" w:space="0" w:color="auto"/>
            <w:left w:val="none" w:sz="0" w:space="0" w:color="auto"/>
            <w:bottom w:val="none" w:sz="0" w:space="0" w:color="auto"/>
            <w:right w:val="none" w:sz="0" w:space="0" w:color="auto"/>
          </w:divBdr>
        </w:div>
        <w:div w:id="1355225021">
          <w:marLeft w:val="0"/>
          <w:marRight w:val="0"/>
          <w:marTop w:val="0"/>
          <w:marBottom w:val="0"/>
          <w:divBdr>
            <w:top w:val="none" w:sz="0" w:space="0" w:color="auto"/>
            <w:left w:val="none" w:sz="0" w:space="0" w:color="auto"/>
            <w:bottom w:val="none" w:sz="0" w:space="0" w:color="auto"/>
            <w:right w:val="none" w:sz="0" w:space="0" w:color="auto"/>
          </w:divBdr>
        </w:div>
        <w:div w:id="835924121">
          <w:marLeft w:val="0"/>
          <w:marRight w:val="0"/>
          <w:marTop w:val="0"/>
          <w:marBottom w:val="0"/>
          <w:divBdr>
            <w:top w:val="none" w:sz="0" w:space="0" w:color="auto"/>
            <w:left w:val="none" w:sz="0" w:space="0" w:color="auto"/>
            <w:bottom w:val="none" w:sz="0" w:space="0" w:color="auto"/>
            <w:right w:val="none" w:sz="0" w:space="0" w:color="auto"/>
          </w:divBdr>
        </w:div>
        <w:div w:id="1997799623">
          <w:marLeft w:val="0"/>
          <w:marRight w:val="0"/>
          <w:marTop w:val="0"/>
          <w:marBottom w:val="0"/>
          <w:divBdr>
            <w:top w:val="none" w:sz="0" w:space="0" w:color="auto"/>
            <w:left w:val="none" w:sz="0" w:space="0" w:color="auto"/>
            <w:bottom w:val="none" w:sz="0" w:space="0" w:color="auto"/>
            <w:right w:val="none" w:sz="0" w:space="0" w:color="auto"/>
          </w:divBdr>
        </w:div>
        <w:div w:id="1820657558">
          <w:marLeft w:val="0"/>
          <w:marRight w:val="0"/>
          <w:marTop w:val="0"/>
          <w:marBottom w:val="0"/>
          <w:divBdr>
            <w:top w:val="none" w:sz="0" w:space="0" w:color="auto"/>
            <w:left w:val="none" w:sz="0" w:space="0" w:color="auto"/>
            <w:bottom w:val="none" w:sz="0" w:space="0" w:color="auto"/>
            <w:right w:val="none" w:sz="0" w:space="0" w:color="auto"/>
          </w:divBdr>
        </w:div>
        <w:div w:id="429276830">
          <w:marLeft w:val="0"/>
          <w:marRight w:val="0"/>
          <w:marTop w:val="0"/>
          <w:marBottom w:val="0"/>
          <w:divBdr>
            <w:top w:val="none" w:sz="0" w:space="0" w:color="auto"/>
            <w:left w:val="none" w:sz="0" w:space="0" w:color="auto"/>
            <w:bottom w:val="none" w:sz="0" w:space="0" w:color="auto"/>
            <w:right w:val="none" w:sz="0" w:space="0" w:color="auto"/>
          </w:divBdr>
        </w:div>
        <w:div w:id="1449548613">
          <w:marLeft w:val="0"/>
          <w:marRight w:val="0"/>
          <w:marTop w:val="0"/>
          <w:marBottom w:val="0"/>
          <w:divBdr>
            <w:top w:val="none" w:sz="0" w:space="0" w:color="auto"/>
            <w:left w:val="none" w:sz="0" w:space="0" w:color="auto"/>
            <w:bottom w:val="none" w:sz="0" w:space="0" w:color="auto"/>
            <w:right w:val="none" w:sz="0" w:space="0" w:color="auto"/>
          </w:divBdr>
        </w:div>
        <w:div w:id="2095738910">
          <w:marLeft w:val="0"/>
          <w:marRight w:val="0"/>
          <w:marTop w:val="0"/>
          <w:marBottom w:val="0"/>
          <w:divBdr>
            <w:top w:val="none" w:sz="0" w:space="0" w:color="auto"/>
            <w:left w:val="none" w:sz="0" w:space="0" w:color="auto"/>
            <w:bottom w:val="none" w:sz="0" w:space="0" w:color="auto"/>
            <w:right w:val="none" w:sz="0" w:space="0" w:color="auto"/>
          </w:divBdr>
        </w:div>
      </w:divsChild>
    </w:div>
    <w:div w:id="1940064985">
      <w:bodyDiv w:val="1"/>
      <w:marLeft w:val="0"/>
      <w:marRight w:val="0"/>
      <w:marTop w:val="0"/>
      <w:marBottom w:val="0"/>
      <w:divBdr>
        <w:top w:val="none" w:sz="0" w:space="0" w:color="auto"/>
        <w:left w:val="none" w:sz="0" w:space="0" w:color="auto"/>
        <w:bottom w:val="none" w:sz="0" w:space="0" w:color="auto"/>
        <w:right w:val="none" w:sz="0" w:space="0" w:color="auto"/>
      </w:divBdr>
    </w:div>
    <w:div w:id="2103405759">
      <w:bodyDiv w:val="1"/>
      <w:marLeft w:val="0"/>
      <w:marRight w:val="0"/>
      <w:marTop w:val="0"/>
      <w:marBottom w:val="0"/>
      <w:divBdr>
        <w:top w:val="none" w:sz="0" w:space="0" w:color="auto"/>
        <w:left w:val="none" w:sz="0" w:space="0" w:color="auto"/>
        <w:bottom w:val="none" w:sz="0" w:space="0" w:color="auto"/>
        <w:right w:val="none" w:sz="0" w:space="0" w:color="auto"/>
      </w:divBdr>
      <w:divsChild>
        <w:div w:id="1054618316">
          <w:marLeft w:val="0"/>
          <w:marRight w:val="0"/>
          <w:marTop w:val="0"/>
          <w:marBottom w:val="0"/>
          <w:divBdr>
            <w:top w:val="none" w:sz="0" w:space="0" w:color="auto"/>
            <w:left w:val="none" w:sz="0" w:space="0" w:color="auto"/>
            <w:bottom w:val="none" w:sz="0" w:space="0" w:color="auto"/>
            <w:right w:val="none" w:sz="0" w:space="0" w:color="auto"/>
          </w:divBdr>
        </w:div>
        <w:div w:id="1272670129">
          <w:marLeft w:val="0"/>
          <w:marRight w:val="0"/>
          <w:marTop w:val="0"/>
          <w:marBottom w:val="0"/>
          <w:divBdr>
            <w:top w:val="none" w:sz="0" w:space="0" w:color="auto"/>
            <w:left w:val="none" w:sz="0" w:space="0" w:color="auto"/>
            <w:bottom w:val="none" w:sz="0" w:space="0" w:color="auto"/>
            <w:right w:val="none" w:sz="0" w:space="0" w:color="auto"/>
          </w:divBdr>
        </w:div>
        <w:div w:id="5708928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lo.org/ipec/ChildlabourstatisticsSIMPOC/Questionnairessurveysandreports/lang--en/index.ht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ta.unicef.org/resources/child-labour-2020-global-estimates-trends-and-the-road-forward/"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unicef.org/resources/child-labour-2020-global-estimates-trends-and-the-road-forwar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ata.unicef.org/resources/child-labour-2020-global-estimates-trends-and-the-road-forwar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8C7470F5-7D1B-4252-A396-2A2FEC95AB0A}"/>
      </w:docPartPr>
      <w:docPartBody>
        <w:p w:rsidR="00887094" w:rsidRDefault="00A53A4E">
          <w:r w:rsidRPr="00823EBA">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A4E"/>
    <w:rsid w:val="002D5AA3"/>
    <w:rsid w:val="00887094"/>
    <w:rsid w:val="00A53A4E"/>
    <w:rsid w:val="00DA24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3A4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114b01d-ae01-4749-b845-9d88e7ef5c0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8" ma:contentTypeDescription="Create a new document." ma:contentTypeScope="" ma:versionID="5b5d640fedaaa6e4137951ecd60b6652">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cc6e3c2fa769c5d9e7fd25ad599d334f"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 ds:uri="d114b01d-ae01-4749-b845-9d88e7ef5c0e"/>
  </ds:schemaRefs>
</ds:datastoreItem>
</file>

<file path=customXml/itemProps2.xml><?xml version="1.0" encoding="utf-8"?>
<ds:datastoreItem xmlns:ds="http://schemas.openxmlformats.org/officeDocument/2006/customXml" ds:itemID="{7CF1399B-7671-4FB1-986E-969022785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25EF8D1F-F1F4-4446-87C2-8040E83F6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2961</Words>
  <Characters>16884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19806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Kebebush Welkema</dc:creator>
  <cp:lastModifiedBy>Kebebush Welkema</cp:lastModifiedBy>
  <cp:revision>5</cp:revision>
  <cp:lastPrinted>2016-07-16T14:25:00Z</cp:lastPrinted>
  <dcterms:created xsi:type="dcterms:W3CDTF">2024-05-29T16:23:00Z</dcterms:created>
  <dcterms:modified xsi:type="dcterms:W3CDTF">2024-07-25T22:06:00Z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