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D3344D" w:rsidRDefault="006C4BFD" w:rsidP="006C4BFD">
      <w:pPr>
        <w:spacing w:after="0"/>
        <w:jc w:val="center"/>
        <w:rPr>
          <w:lang w:val="en-US"/>
        </w:rPr>
      </w:pPr>
      <w:r w:rsidRPr="00D3344D">
        <w:rPr>
          <w:color w:val="1C75BC"/>
          <w:sz w:val="36"/>
          <w:lang w:val="en-US"/>
        </w:rPr>
        <w:t>SDG indicator metadata</w:t>
      </w:r>
    </w:p>
    <w:p w14:paraId="129054E9" w14:textId="2E583254" w:rsidR="006C4BFD" w:rsidRPr="00D3344D" w:rsidRDefault="002C2510" w:rsidP="006C4BFD">
      <w:pPr>
        <w:spacing w:after="0"/>
        <w:jc w:val="center"/>
        <w:rPr>
          <w:b/>
          <w:color w:val="4A4A4A"/>
          <w:sz w:val="21"/>
          <w:lang w:val="en-US"/>
        </w:rPr>
      </w:pPr>
      <w:r w:rsidRPr="00D3344D">
        <w:rPr>
          <w:b/>
          <w:color w:val="4A4A4A"/>
          <w:sz w:val="21"/>
          <w:lang w:val="en-US"/>
        </w:rPr>
        <w:t>(Harmonized metadata template - format version 1.1)</w:t>
      </w:r>
    </w:p>
    <w:p w14:paraId="773F63CF" w14:textId="77777777" w:rsidR="006C4BFD" w:rsidRPr="00D3344D" w:rsidRDefault="006C4BFD" w:rsidP="006C4BFD">
      <w:pPr>
        <w:spacing w:after="0"/>
        <w:rPr>
          <w:b/>
          <w:color w:val="4A4A4A"/>
          <w:sz w:val="21"/>
          <w:lang w:val="en-US"/>
        </w:rPr>
      </w:pPr>
    </w:p>
    <w:p w14:paraId="6AEAC6DA" w14:textId="6C7C2D3A" w:rsidR="00B31E2C" w:rsidRPr="00E43CC4" w:rsidRDefault="00B31E2C" w:rsidP="00EA05D3">
      <w:pPr>
        <w:pStyle w:val="MIndHeader2"/>
        <w:rPr>
          <w:rFonts w:cstheme="minorHAnsi"/>
        </w:rPr>
      </w:pPr>
      <w:r w:rsidRPr="00E43CC4">
        <w:rPr>
          <w:rFonts w:cstheme="minorHAnsi"/>
        </w:rPr>
        <w:t xml:space="preserve">0. Indicator information </w:t>
      </w:r>
      <w:r>
        <w:rPr>
          <w:color w:val="B4B4B4"/>
          <w:sz w:val="20"/>
        </w:rPr>
        <w:t>(SDG_INDICATOR_INFO)</w:t>
      </w:r>
    </w:p>
    <w:p w14:paraId="043ED752" w14:textId="28D7692E" w:rsidR="00D24330" w:rsidRPr="00E43CC4" w:rsidRDefault="00D24330" w:rsidP="00EA05D3">
      <w:pPr>
        <w:pStyle w:val="MIndHeader"/>
        <w:rPr>
          <w:rFonts w:cstheme="minorHAnsi"/>
        </w:rPr>
      </w:pPr>
      <w:r w:rsidRPr="00E43CC4">
        <w:rPr>
          <w:rFonts w:cstheme="minorHAnsi"/>
        </w:rPr>
        <w:t xml:space="preserve">0.a. Goal </w:t>
      </w:r>
      <w:r>
        <w:rPr>
          <w:color w:val="B4B4B4"/>
          <w:sz w:val="20"/>
        </w:rPr>
        <w:t>(SDG_GOAL)</w:t>
      </w:r>
    </w:p>
    <w:p w14:paraId="29BF91DB" w14:textId="77777777" w:rsidR="008D1DD3" w:rsidRPr="00E43CC4" w:rsidRDefault="008D1DD3" w:rsidP="008D1DD3">
      <w:pPr>
        <w:shd w:val="clear" w:color="auto" w:fill="F5F5F5"/>
        <w:spacing w:after="0"/>
        <w:outlineLvl w:val="4"/>
        <w:rPr>
          <w:rFonts w:eastAsia="Times New Roman" w:cstheme="minorHAnsi"/>
          <w:bCs/>
          <w:color w:val="333333"/>
          <w:sz w:val="21"/>
          <w:szCs w:val="21"/>
          <w:lang w:eastAsia="en-GB"/>
        </w:rPr>
      </w:pPr>
      <w:r w:rsidRPr="00E43CC4">
        <w:rPr>
          <w:rFonts w:eastAsia="Times New Roman" w:cstheme="minorHAnsi"/>
          <w:bCs/>
          <w:color w:val="333333"/>
          <w:sz w:val="21"/>
          <w:szCs w:val="21"/>
          <w:lang w:eastAsia="en-GB"/>
        </w:rPr>
        <w:t>Goal 15: Protect, restore and promote sustainable use of terrestrial ecosystems, sustainably manage forests, combat desertification, and halt and reverse land degradation and halt biodiversity loss</w:t>
      </w:r>
    </w:p>
    <w:p w14:paraId="084142D2" w14:textId="77777777" w:rsidR="00D24330" w:rsidRPr="00E43CC4" w:rsidRDefault="00D24330" w:rsidP="00D24330">
      <w:pPr>
        <w:pStyle w:val="MIndHeader"/>
        <w:rPr>
          <w:rFonts w:cstheme="minorHAnsi"/>
        </w:rPr>
      </w:pPr>
      <w:r w:rsidRPr="00E43CC4">
        <w:rPr>
          <w:rFonts w:cstheme="minorHAnsi"/>
        </w:rPr>
        <w:t xml:space="preserve">0.b. Target </w:t>
      </w:r>
      <w:r>
        <w:rPr>
          <w:color w:val="B4B4B4"/>
          <w:sz w:val="20"/>
        </w:rPr>
        <w:t>(SDG_TARGET)</w:t>
      </w:r>
    </w:p>
    <w:p w14:paraId="6CB773D8" w14:textId="77777777" w:rsidR="008D1DD3" w:rsidRPr="00E43CC4" w:rsidRDefault="008D1DD3" w:rsidP="008D1DD3">
      <w:pPr>
        <w:shd w:val="clear" w:color="auto" w:fill="F5F5F5"/>
        <w:spacing w:after="0"/>
        <w:outlineLvl w:val="4"/>
        <w:rPr>
          <w:rFonts w:eastAsia="Times New Roman" w:cstheme="minorHAnsi"/>
          <w:bCs/>
          <w:color w:val="333333"/>
          <w:sz w:val="21"/>
          <w:szCs w:val="21"/>
          <w:lang w:eastAsia="en-GB"/>
        </w:rPr>
      </w:pPr>
      <w:r w:rsidRPr="00E43CC4">
        <w:rPr>
          <w:rFonts w:eastAsia="Times New Roman" w:cstheme="minorHAnsi"/>
          <w:bCs/>
          <w:color w:val="333333"/>
          <w:sz w:val="21"/>
          <w:szCs w:val="21"/>
          <w:lang w:eastAsia="en-GB"/>
        </w:rPr>
        <w:t>Target 15.2: By 2020, promote the implementation of sustainable management of all types of forests, halt deforestation, restore degraded forests and substantially increase afforestation and reforestation globally</w:t>
      </w:r>
    </w:p>
    <w:p w14:paraId="3E67E7E0" w14:textId="77777777" w:rsidR="00D24330" w:rsidRPr="00E43CC4" w:rsidRDefault="00D24330" w:rsidP="00D24330">
      <w:pPr>
        <w:pStyle w:val="MIndHeader"/>
        <w:rPr>
          <w:rFonts w:cstheme="minorHAnsi"/>
        </w:rPr>
      </w:pPr>
      <w:r w:rsidRPr="00E43CC4">
        <w:rPr>
          <w:rFonts w:cstheme="minorHAnsi"/>
        </w:rPr>
        <w:t xml:space="preserve">0.c. Indicator </w:t>
      </w:r>
      <w:r>
        <w:rPr>
          <w:color w:val="B4B4B4"/>
          <w:sz w:val="20"/>
        </w:rPr>
        <w:t>(SDG_INDICATOR)</w:t>
      </w:r>
    </w:p>
    <w:p w14:paraId="1D989E1E" w14:textId="790AA148" w:rsidR="008D1DD3" w:rsidRPr="00E43CC4" w:rsidRDefault="008D1DD3" w:rsidP="00D24330">
      <w:pPr>
        <w:pStyle w:val="MIndHeader"/>
        <w:rPr>
          <w:rFonts w:cstheme="minorHAnsi"/>
          <w:color w:val="333333"/>
          <w:sz w:val="21"/>
          <w:szCs w:val="21"/>
        </w:rPr>
      </w:pPr>
      <w:r w:rsidRPr="00E43CC4">
        <w:rPr>
          <w:rFonts w:cstheme="minorHAnsi"/>
          <w:color w:val="333333"/>
          <w:sz w:val="21"/>
          <w:szCs w:val="21"/>
        </w:rPr>
        <w:t>Indicator 15.2.1: Progress towards sustainable forest management</w:t>
      </w:r>
    </w:p>
    <w:p w14:paraId="37E5E4F6" w14:textId="0D344F4C" w:rsidR="00D24330" w:rsidRPr="00806E42" w:rsidRDefault="00D24330" w:rsidP="00D24330">
      <w:pPr>
        <w:pStyle w:val="MIndHeader"/>
        <w:rPr>
          <w:rFonts w:cstheme="minorHAnsi"/>
          <w:lang w:val="en-US"/>
        </w:rPr>
      </w:pPr>
      <w:r w:rsidRPr="00806E42">
        <w:rPr>
          <w:rFonts w:cstheme="minorHAnsi"/>
          <w:lang w:val="en-US"/>
        </w:rPr>
        <w:t xml:space="preserve">0.d. Series </w:t>
      </w:r>
      <w:r>
        <w:rPr>
          <w:color w:val="B4B4B4"/>
          <w:sz w:val="20"/>
        </w:rPr>
        <w:t>(SDG_SERIES_DESCR)</w:t>
      </w:r>
    </w:p>
    <w:p w14:paraId="518AED7A" w14:textId="77777777" w:rsidR="001A5EDE" w:rsidRPr="001A5EDE" w:rsidRDefault="001A5EDE" w:rsidP="001A5EDE">
      <w:pPr>
        <w:pStyle w:val="MGTHeader"/>
        <w:rPr>
          <w:lang w:val="en-US"/>
        </w:rPr>
      </w:pPr>
      <w:r w:rsidRPr="001A5EDE">
        <w:rPr>
          <w:lang w:val="en-US"/>
        </w:rPr>
        <w:t>AG_LND_FRSTBIOPHA - Above-ground biomass in forest (</w:t>
      </w:r>
      <w:proofErr w:type="spellStart"/>
      <w:proofErr w:type="gramStart"/>
      <w:r w:rsidRPr="001A5EDE">
        <w:rPr>
          <w:lang w:val="en-US"/>
        </w:rPr>
        <w:t>tonnes</w:t>
      </w:r>
      <w:proofErr w:type="spellEnd"/>
      <w:proofErr w:type="gramEnd"/>
      <w:r w:rsidRPr="001A5EDE">
        <w:rPr>
          <w:lang w:val="en-US"/>
        </w:rPr>
        <w:t xml:space="preserve"> per hectare) [15.2.1]</w:t>
      </w:r>
    </w:p>
    <w:p w14:paraId="59C54653" w14:textId="77777777" w:rsidR="001A5EDE" w:rsidRPr="001A5EDE" w:rsidRDefault="001A5EDE" w:rsidP="001A5EDE">
      <w:pPr>
        <w:pStyle w:val="MGTHeader"/>
        <w:rPr>
          <w:lang w:val="en-US"/>
        </w:rPr>
      </w:pPr>
      <w:r w:rsidRPr="001A5EDE">
        <w:rPr>
          <w:lang w:val="en-US"/>
        </w:rPr>
        <w:t>AG_LND_FRSTCERT - Forest area certified under an independently verified certification scheme (hectares) [15.2.1]</w:t>
      </w:r>
    </w:p>
    <w:p w14:paraId="0027B24D" w14:textId="77777777" w:rsidR="001A5EDE" w:rsidRPr="001A5EDE" w:rsidRDefault="001A5EDE" w:rsidP="001A5EDE">
      <w:pPr>
        <w:pStyle w:val="MGTHeader"/>
        <w:rPr>
          <w:lang w:val="en-US"/>
        </w:rPr>
      </w:pPr>
      <w:r w:rsidRPr="001A5EDE">
        <w:rPr>
          <w:lang w:val="en-US"/>
        </w:rPr>
        <w:t xml:space="preserve">AG_LND_FRSTCHG - </w:t>
      </w:r>
      <w:proofErr w:type="gramStart"/>
      <w:r w:rsidRPr="001A5EDE">
        <w:rPr>
          <w:lang w:val="en-US"/>
        </w:rPr>
        <w:t>Annual forest</w:t>
      </w:r>
      <w:proofErr w:type="gramEnd"/>
      <w:r w:rsidRPr="001A5EDE">
        <w:rPr>
          <w:lang w:val="en-US"/>
        </w:rPr>
        <w:t xml:space="preserve"> area change rate (%) [15.2.1]</w:t>
      </w:r>
    </w:p>
    <w:p w14:paraId="0DEFE6C7" w14:textId="170FE974" w:rsidR="001A5EDE" w:rsidRPr="001A5EDE" w:rsidRDefault="001A5EDE" w:rsidP="001A5EDE">
      <w:pPr>
        <w:pStyle w:val="MGTHeader"/>
        <w:rPr>
          <w:lang w:val="en-US"/>
        </w:rPr>
      </w:pPr>
      <w:r w:rsidRPr="001A5EDE">
        <w:rPr>
          <w:lang w:val="en-US"/>
        </w:rPr>
        <w:t>AG_LND_FRSTMGT - Proportion of forest area with a long-term management plan [15.2.1]</w:t>
      </w:r>
    </w:p>
    <w:p w14:paraId="6FFB33F5" w14:textId="4775199D" w:rsidR="00991DE0" w:rsidRDefault="001A5EDE" w:rsidP="001A5EDE">
      <w:pPr>
        <w:pStyle w:val="MGTHeader"/>
        <w:rPr>
          <w:lang w:val="en-US"/>
        </w:rPr>
      </w:pPr>
      <w:r w:rsidRPr="001A5EDE">
        <w:rPr>
          <w:lang w:val="en-US"/>
        </w:rPr>
        <w:t>AG_LND_FRSTPRCT - Proportion of forest area within legally established protected areas [15.2.1]</w:t>
      </w:r>
    </w:p>
    <w:p w14:paraId="157DACE7" w14:textId="77777777" w:rsidR="00D24330" w:rsidRPr="00806E42" w:rsidRDefault="00D24330" w:rsidP="00D24330">
      <w:pPr>
        <w:pStyle w:val="MIndHeader"/>
        <w:rPr>
          <w:rFonts w:cstheme="minorHAnsi"/>
          <w:lang w:val="en-US"/>
        </w:rPr>
      </w:pPr>
      <w:r w:rsidRPr="00806E42">
        <w:rPr>
          <w:rFonts w:cstheme="minorHAnsi"/>
          <w:lang w:val="en-US"/>
        </w:rPr>
        <w:t xml:space="preserve">0.e. Metadata update </w:t>
      </w:r>
      <w:r>
        <w:rPr>
          <w:color w:val="B4B4B4"/>
          <w:sz w:val="20"/>
        </w:rPr>
        <w:t>(META_LAST_UPDATE)</w:t>
      </w:r>
    </w:p>
    <w:sdt>
      <w:sdtPr>
        <w:rPr>
          <w:rFonts w:cstheme="minorHAnsi"/>
          <w:lang w:val="en-US"/>
        </w:rPr>
        <w:id w:val="1537077733"/>
        <w:placeholder>
          <w:docPart w:val="DefaultPlaceholder_-1854013437"/>
        </w:placeholder>
        <w:date w:fullDate="2026-03-27T00:00:00Z">
          <w:dateFormat w:val="yyyy-MM-dd"/>
          <w:lid w:val="en-US"/>
          <w:storeMappedDataAs w:val="dateTime"/>
          <w:calendar w:val="gregorian"/>
        </w:date>
      </w:sdtPr>
      <w:sdtEndPr/>
      <w:sdtContent>
        <w:p w14:paraId="03424B60" w14:textId="43022DB0" w:rsidR="00D24330" w:rsidRPr="00806E42" w:rsidRDefault="009434CA" w:rsidP="00D24330">
          <w:pPr>
            <w:pStyle w:val="MGTHeader"/>
            <w:rPr>
              <w:rFonts w:cstheme="minorHAnsi"/>
              <w:lang w:val="en-US"/>
            </w:rPr>
          </w:pPr>
          <w:r>
            <w:rPr>
              <w:rFonts w:cstheme="minorHAnsi"/>
              <w:lang w:val="en-US"/>
            </w:rPr>
            <w:t>2026-03-27</w:t>
          </w:r>
        </w:p>
      </w:sdtContent>
    </w:sdt>
    <w:p w14:paraId="415C9FF1" w14:textId="77777777" w:rsidR="00D24330" w:rsidRPr="00E43CC4" w:rsidRDefault="00D24330" w:rsidP="00D24330">
      <w:pPr>
        <w:pStyle w:val="MIndHeader"/>
        <w:rPr>
          <w:rFonts w:cstheme="minorHAnsi"/>
        </w:rPr>
      </w:pPr>
      <w:r w:rsidRPr="00E43CC4">
        <w:rPr>
          <w:rFonts w:cstheme="minorHAnsi"/>
        </w:rPr>
        <w:t xml:space="preserve">0.f. Related indicators </w:t>
      </w:r>
      <w:r>
        <w:rPr>
          <w:color w:val="B4B4B4"/>
          <w:sz w:val="20"/>
        </w:rPr>
        <w:t>(SDG_RELATED_INDICATORS)</w:t>
      </w:r>
    </w:p>
    <w:p w14:paraId="13D956E4" w14:textId="77777777" w:rsidR="004C2F9D" w:rsidRPr="00E43CC4" w:rsidRDefault="004C2F9D" w:rsidP="00E43CC4">
      <w:pPr>
        <w:pStyle w:val="MGTHeader"/>
        <w:rPr>
          <w:lang w:val="en-US"/>
        </w:rPr>
      </w:pPr>
      <w:r w:rsidRPr="00E43CC4">
        <w:rPr>
          <w:lang w:val="en-US"/>
        </w:rPr>
        <w:t xml:space="preserve">15.1.1: Forest area as a proportion of total land area </w:t>
      </w:r>
    </w:p>
    <w:p w14:paraId="077BC49E" w14:textId="77777777" w:rsidR="00D24330" w:rsidRPr="00E43CC4" w:rsidRDefault="00D24330" w:rsidP="00D24330">
      <w:pPr>
        <w:pStyle w:val="MIndHeader"/>
        <w:rPr>
          <w:rFonts w:cstheme="minorHAnsi"/>
        </w:rPr>
      </w:pPr>
      <w:r w:rsidRPr="00E43CC4">
        <w:rPr>
          <w:rFonts w:cstheme="minorHAnsi"/>
        </w:rPr>
        <w:t xml:space="preserve">0.g. </w:t>
      </w:r>
      <w:proofErr w:type="gramStart"/>
      <w:r w:rsidRPr="00E43CC4">
        <w:rPr>
          <w:rFonts w:cstheme="minorHAnsi"/>
        </w:rPr>
        <w:t>International</w:t>
      </w:r>
      <w:proofErr w:type="gramEnd"/>
      <w:r w:rsidRPr="00E43CC4">
        <w:rPr>
          <w:rFonts w:cstheme="minorHAnsi"/>
        </w:rPr>
        <w:t xml:space="preserve"> organisations(s) responsible for global monitoring </w:t>
      </w:r>
      <w:r>
        <w:rPr>
          <w:color w:val="B4B4B4"/>
          <w:sz w:val="20"/>
        </w:rPr>
        <w:t>(SDG_CUSTODIAN_AGENCIES)</w:t>
      </w:r>
    </w:p>
    <w:p w14:paraId="22BD1816" w14:textId="77777777" w:rsidR="008D1DD3" w:rsidRPr="00E43CC4" w:rsidRDefault="008D1DD3" w:rsidP="00E43CC4">
      <w:pPr>
        <w:pStyle w:val="MGTHeader"/>
        <w:rPr>
          <w:rFonts w:eastAsia="Calibri"/>
          <w:lang w:val="en-US"/>
        </w:rPr>
      </w:pPr>
      <w:r w:rsidRPr="00E43CC4">
        <w:rPr>
          <w:rFonts w:eastAsia="Calibri"/>
          <w:lang w:val="en-US"/>
        </w:rPr>
        <w:t xml:space="preserve">Food and Agriculture Organization of the United Nations (FAO) </w:t>
      </w:r>
    </w:p>
    <w:p w14:paraId="19F29921" w14:textId="77777777" w:rsidR="008D1D39" w:rsidRPr="00E43CC4" w:rsidRDefault="008D1D39" w:rsidP="00573631">
      <w:pPr>
        <w:shd w:val="clear" w:color="auto" w:fill="FFFFFF"/>
        <w:spacing w:after="0"/>
        <w:rPr>
          <w:rFonts w:eastAsia="Times New Roman" w:cstheme="minorHAnsi"/>
          <w:color w:val="4A4A4A"/>
          <w:sz w:val="21"/>
          <w:szCs w:val="21"/>
          <w:lang w:eastAsia="en-GB"/>
        </w:rPr>
      </w:pPr>
    </w:p>
    <w:p w14:paraId="12E0D73A" w14:textId="48126E58" w:rsidR="00B31E2C" w:rsidRPr="00E43CC4" w:rsidRDefault="00B31E2C" w:rsidP="00EA05D3">
      <w:pPr>
        <w:pStyle w:val="MHeader"/>
        <w:rPr>
          <w:rFonts w:cstheme="minorHAnsi"/>
        </w:rPr>
      </w:pPr>
      <w:bookmarkStart w:id="0" w:name="_Toc37932744"/>
      <w:bookmarkStart w:id="1" w:name="_Toc36813072"/>
      <w:bookmarkStart w:id="2" w:name="_Toc36812685"/>
      <w:bookmarkStart w:id="3" w:name="_Toc36812572"/>
      <w:bookmarkStart w:id="4" w:name="_Toc36655609"/>
      <w:r w:rsidRPr="00E43CC4">
        <w:rPr>
          <w:rFonts w:cstheme="minorHAnsi"/>
        </w:rPr>
        <w:t xml:space="preserve">1. Data reporter </w:t>
      </w:r>
      <w:bookmarkEnd w:id="0"/>
      <w:bookmarkEnd w:id="1"/>
      <w:bookmarkEnd w:id="2"/>
      <w:bookmarkEnd w:id="3"/>
      <w:bookmarkEnd w:id="4"/>
      <w:r>
        <w:rPr>
          <w:color w:val="B4B4B4"/>
          <w:sz w:val="20"/>
        </w:rPr>
        <w:t>(CONTACT)</w:t>
      </w:r>
    </w:p>
    <w:p w14:paraId="0BD77982" w14:textId="72DFE854" w:rsidR="00576CFA" w:rsidRPr="00E43CC4" w:rsidRDefault="00576CFA" w:rsidP="0067574B">
      <w:pPr>
        <w:pStyle w:val="MHeader2"/>
        <w:keepNext/>
        <w:rPr>
          <w:rFonts w:cstheme="minorHAnsi"/>
        </w:rPr>
      </w:pPr>
      <w:r w:rsidRPr="00E43CC4">
        <w:rPr>
          <w:rFonts w:cstheme="minorHAnsi"/>
        </w:rPr>
        <w:t xml:space="preserve">1.a. Organisation </w:t>
      </w:r>
      <w:r>
        <w:rPr>
          <w:color w:val="B4B4B4"/>
          <w:sz w:val="20"/>
        </w:rPr>
        <w:t>(CONTACT_ORGANISATION)</w:t>
      </w:r>
    </w:p>
    <w:p w14:paraId="0D3D7BC9" w14:textId="50AB00C9" w:rsidR="008D1DD3" w:rsidRPr="00E43CC4" w:rsidRDefault="008D1DD3" w:rsidP="00E43CC4">
      <w:pPr>
        <w:pStyle w:val="MText"/>
        <w:rPr>
          <w:rFonts w:eastAsia="Calibri"/>
          <w:lang w:val="en-US"/>
        </w:rPr>
      </w:pPr>
      <w:r w:rsidRPr="00E43CC4">
        <w:rPr>
          <w:rFonts w:eastAsia="Calibri"/>
          <w:lang w:val="en-US"/>
        </w:rPr>
        <w:t xml:space="preserve">Food and Agriculture Organization of the United Nations (FAO) </w:t>
      </w:r>
    </w:p>
    <w:p w14:paraId="6E829FD0" w14:textId="2439F30A" w:rsidR="00F719A8" w:rsidRPr="00E43CC4" w:rsidRDefault="00F719A8" w:rsidP="00576CFA">
      <w:pPr>
        <w:pStyle w:val="MText"/>
        <w:rPr>
          <w:rFonts w:cstheme="minorHAnsi"/>
        </w:rPr>
      </w:pPr>
    </w:p>
    <w:p w14:paraId="14915AC8" w14:textId="7D506133" w:rsidR="00B31E2C" w:rsidRPr="00E43CC4" w:rsidRDefault="00B31E2C" w:rsidP="008B0AC7">
      <w:pPr>
        <w:pStyle w:val="MHeader"/>
        <w:rPr>
          <w:rFonts w:cstheme="minorHAnsi"/>
        </w:rPr>
      </w:pPr>
      <w:r w:rsidRPr="00E43CC4">
        <w:rPr>
          <w:rFonts w:cstheme="minorHAnsi"/>
        </w:rPr>
        <w:t xml:space="preserve">2. Definition, concepts, and classifications </w:t>
      </w:r>
      <w:r>
        <w:rPr>
          <w:color w:val="B4B4B4"/>
          <w:sz w:val="20"/>
        </w:rPr>
        <w:t>(IND_DEF_CON_CLASS)</w:t>
      </w:r>
    </w:p>
    <w:p w14:paraId="2AC373EA" w14:textId="44236363" w:rsidR="008B0AC7" w:rsidRPr="00E43CC4" w:rsidRDefault="008B0AC7" w:rsidP="00F719A8">
      <w:pPr>
        <w:pStyle w:val="MHeader2"/>
        <w:rPr>
          <w:rFonts w:cstheme="minorHAnsi"/>
        </w:rPr>
      </w:pPr>
      <w:r w:rsidRPr="00E43CC4">
        <w:rPr>
          <w:rFonts w:cstheme="minorHAnsi"/>
        </w:rPr>
        <w:t xml:space="preserve">2.a. Definition and concepts </w:t>
      </w:r>
      <w:r>
        <w:rPr>
          <w:color w:val="B4B4B4"/>
          <w:sz w:val="20"/>
        </w:rPr>
        <w:t>(STAT_CONC_DEF)</w:t>
      </w:r>
    </w:p>
    <w:p w14:paraId="7B689F98" w14:textId="77777777" w:rsidR="008D1DD3" w:rsidRPr="00E43CC4" w:rsidRDefault="008D1DD3" w:rsidP="008D1DD3">
      <w:pPr>
        <w:autoSpaceDE w:val="0"/>
        <w:autoSpaceDN w:val="0"/>
        <w:adjustRightInd w:val="0"/>
        <w:spacing w:after="0"/>
        <w:rPr>
          <w:rFonts w:eastAsia="Calibri" w:cstheme="minorHAnsi"/>
          <w:b/>
          <w:bCs/>
          <w:color w:val="4A4A4A"/>
          <w:sz w:val="21"/>
          <w:szCs w:val="21"/>
          <w:lang w:val="en-US" w:eastAsia="en-US"/>
        </w:rPr>
      </w:pPr>
      <w:r w:rsidRPr="00E43CC4">
        <w:rPr>
          <w:rFonts w:eastAsia="Calibri" w:cstheme="minorHAnsi"/>
          <w:b/>
          <w:bCs/>
          <w:color w:val="4A4A4A"/>
          <w:sz w:val="21"/>
          <w:szCs w:val="21"/>
          <w:lang w:val="en-US" w:eastAsia="en-US"/>
        </w:rPr>
        <w:t xml:space="preserve">Definition: </w:t>
      </w:r>
    </w:p>
    <w:p w14:paraId="0A6D6024"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“Sustainable forest management” (SFM) is a central concept for Goal 15 and target 15.1 as well as for target 15.2. It has been formally defined, by the UN General Assembly, as follows: </w:t>
      </w:r>
    </w:p>
    <w:p w14:paraId="210DF137"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2EEB7DEF"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i/>
          <w:iCs/>
          <w:color w:val="4A4A4A"/>
          <w:sz w:val="21"/>
          <w:szCs w:val="21"/>
          <w:lang w:val="en-US" w:eastAsia="en-US"/>
        </w:rPr>
        <w:lastRenderedPageBreak/>
        <w:t>[a] dynamic and evolving concept [that] aims to maintain and enhance the economic, social and environmental values of all types of forests, for the benefit of present and future generations</w:t>
      </w:r>
      <w:r w:rsidRPr="00E43CC4">
        <w:rPr>
          <w:rFonts w:eastAsia="Calibri" w:cstheme="minorHAnsi"/>
          <w:color w:val="4A4A4A"/>
          <w:sz w:val="21"/>
          <w:szCs w:val="21"/>
          <w:lang w:val="en-US" w:eastAsia="en-US"/>
        </w:rPr>
        <w:t xml:space="preserve">” (Resolution A/RES/62/98) </w:t>
      </w:r>
    </w:p>
    <w:p w14:paraId="1B4B0115"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27755281"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The indicator is composed of five sub-indicators that measure progress towards all dimensions of sustainable forest management. The environmental values of forests are covered by three sub-indicators focused on the extension of forest area, biomass within the forest area and protection and maintenance of biological diversity, and of natural and associated cultural resources. Social and economic values of forests are reconciled with environmental values through sustainable management plans. The sub-indicator provides further </w:t>
      </w:r>
      <w:proofErr w:type="gramStart"/>
      <w:r w:rsidRPr="00E43CC4">
        <w:rPr>
          <w:rFonts w:eastAsia="Calibri" w:cstheme="minorHAnsi"/>
          <w:color w:val="4A4A4A"/>
          <w:sz w:val="21"/>
          <w:szCs w:val="21"/>
          <w:lang w:val="en-US" w:eastAsia="en-US"/>
        </w:rPr>
        <w:t>qualification</w:t>
      </w:r>
      <w:proofErr w:type="gramEnd"/>
      <w:r w:rsidRPr="00E43CC4">
        <w:rPr>
          <w:rFonts w:eastAsia="Calibri" w:cstheme="minorHAnsi"/>
          <w:color w:val="4A4A4A"/>
          <w:sz w:val="21"/>
          <w:szCs w:val="21"/>
          <w:lang w:val="en-US" w:eastAsia="en-US"/>
        </w:rPr>
        <w:t xml:space="preserve"> </w:t>
      </w:r>
      <w:proofErr w:type="gramStart"/>
      <w:r w:rsidRPr="00E43CC4">
        <w:rPr>
          <w:rFonts w:eastAsia="Calibri" w:cstheme="minorHAnsi"/>
          <w:color w:val="4A4A4A"/>
          <w:sz w:val="21"/>
          <w:szCs w:val="21"/>
          <w:lang w:val="en-US" w:eastAsia="en-US"/>
        </w:rPr>
        <w:t>to</w:t>
      </w:r>
      <w:proofErr w:type="gramEnd"/>
      <w:r w:rsidRPr="00E43CC4">
        <w:rPr>
          <w:rFonts w:eastAsia="Calibri" w:cstheme="minorHAnsi"/>
          <w:color w:val="4A4A4A"/>
          <w:sz w:val="21"/>
          <w:szCs w:val="21"/>
          <w:lang w:val="en-US" w:eastAsia="en-US"/>
        </w:rPr>
        <w:t xml:space="preserve"> the management of forest areas, by assessing areas which are independently verified for compliance with a set of national or international standards. </w:t>
      </w:r>
    </w:p>
    <w:p w14:paraId="5AEAEA77"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0131BBA3"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The sub-indicators are: </w:t>
      </w:r>
    </w:p>
    <w:p w14:paraId="6BF81EF9" w14:textId="342275E7" w:rsidR="008D1DD3" w:rsidRPr="00E43CC4" w:rsidRDefault="00D91689" w:rsidP="008D1DD3">
      <w:pPr>
        <w:numPr>
          <w:ilvl w:val="0"/>
          <w:numId w:val="5"/>
        </w:numPr>
        <w:autoSpaceDE w:val="0"/>
        <w:autoSpaceDN w:val="0"/>
        <w:adjustRightInd w:val="0"/>
        <w:spacing w:after="0"/>
        <w:rPr>
          <w:rFonts w:eastAsia="Calibri" w:cstheme="minorHAnsi"/>
          <w:color w:val="4A4A4A"/>
          <w:sz w:val="21"/>
          <w:szCs w:val="21"/>
          <w:lang w:val="en-US" w:eastAsia="en-US"/>
        </w:rPr>
      </w:pPr>
      <w:r>
        <w:rPr>
          <w:rFonts w:eastAsia="Calibri" w:cstheme="minorHAnsi"/>
          <w:color w:val="4A4A4A"/>
          <w:sz w:val="21"/>
          <w:szCs w:val="21"/>
          <w:lang w:val="en-US" w:eastAsia="en-US"/>
        </w:rPr>
        <w:t>Annual f</w:t>
      </w:r>
      <w:r w:rsidR="008D1DD3" w:rsidRPr="00E43CC4">
        <w:rPr>
          <w:rFonts w:eastAsia="Calibri" w:cstheme="minorHAnsi"/>
          <w:color w:val="4A4A4A"/>
          <w:sz w:val="21"/>
          <w:szCs w:val="21"/>
          <w:lang w:val="en-US" w:eastAsia="en-US"/>
        </w:rPr>
        <w:t xml:space="preserve">orest area change rate </w:t>
      </w:r>
    </w:p>
    <w:p w14:paraId="28C93098" w14:textId="716B4511" w:rsidR="008D1DD3" w:rsidRPr="00E43CC4" w:rsidRDefault="008D1DD3" w:rsidP="008D1DD3">
      <w:pPr>
        <w:numPr>
          <w:ilvl w:val="0"/>
          <w:numId w:val="5"/>
        </w:num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Above-ground biomass in forest </w:t>
      </w:r>
    </w:p>
    <w:p w14:paraId="4959F915" w14:textId="3B459C08" w:rsidR="008D1DD3" w:rsidRPr="00E43CC4" w:rsidRDefault="008D1DD3" w:rsidP="008D1DD3">
      <w:pPr>
        <w:numPr>
          <w:ilvl w:val="0"/>
          <w:numId w:val="5"/>
        </w:num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Proportion of forest area within legally established protect</w:t>
      </w:r>
      <w:r w:rsidR="006F5B16">
        <w:rPr>
          <w:rFonts w:eastAsia="Calibri" w:cstheme="minorHAnsi"/>
          <w:color w:val="4A4A4A"/>
          <w:sz w:val="21"/>
          <w:szCs w:val="21"/>
          <w:lang w:val="en-US" w:eastAsia="en-US"/>
        </w:rPr>
        <w:t>ed</w:t>
      </w:r>
      <w:r w:rsidRPr="00E43CC4">
        <w:rPr>
          <w:rFonts w:eastAsia="Calibri" w:cstheme="minorHAnsi"/>
          <w:color w:val="4A4A4A"/>
          <w:sz w:val="21"/>
          <w:szCs w:val="21"/>
          <w:lang w:val="en-US" w:eastAsia="en-US"/>
        </w:rPr>
        <w:t xml:space="preserve"> areas </w:t>
      </w:r>
    </w:p>
    <w:p w14:paraId="1BB56782" w14:textId="787FA64F" w:rsidR="008D1DD3" w:rsidRPr="00E43CC4" w:rsidRDefault="008D1DD3" w:rsidP="008D1DD3">
      <w:pPr>
        <w:numPr>
          <w:ilvl w:val="0"/>
          <w:numId w:val="5"/>
        </w:num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Proportion of forest area under a long</w:t>
      </w:r>
      <w:r w:rsidR="001F3245">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term management plan </w:t>
      </w:r>
    </w:p>
    <w:p w14:paraId="1950A7A4" w14:textId="5DBC5332" w:rsidR="008D1DD3" w:rsidRDefault="008D1DD3" w:rsidP="008D1DD3">
      <w:pPr>
        <w:numPr>
          <w:ilvl w:val="0"/>
          <w:numId w:val="5"/>
        </w:num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Forest area under an independently verified forest management certification scheme </w:t>
      </w:r>
    </w:p>
    <w:p w14:paraId="463C0802"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080C0EDE"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A dashboard is used to assess progress related to the five sub-indicators. The adoption of the dashboard approach aims at ensuring consideration of all dimensions of sustainable forest management and provides for clear view of areas where progress has been achieved. </w:t>
      </w:r>
    </w:p>
    <w:p w14:paraId="27ACE694" w14:textId="2CC702F0"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0E7C43BF" w14:textId="452A431C" w:rsidR="008D1DD3" w:rsidRPr="00E43CC4" w:rsidRDefault="008D1DD3" w:rsidP="00E43CC4">
      <w:pPr>
        <w:autoSpaceDE w:val="0"/>
        <w:autoSpaceDN w:val="0"/>
        <w:adjustRightInd w:val="0"/>
        <w:spacing w:after="0"/>
        <w:rPr>
          <w:rFonts w:eastAsia="Calibri" w:cstheme="minorHAnsi"/>
          <w:b/>
          <w:color w:val="4A4A4A"/>
          <w:sz w:val="21"/>
          <w:szCs w:val="24"/>
          <w:lang w:val="en-US" w:eastAsia="en-US"/>
        </w:rPr>
      </w:pPr>
      <w:r w:rsidRPr="00E43CC4">
        <w:rPr>
          <w:rFonts w:eastAsia="Calibri" w:cstheme="minorHAnsi"/>
          <w:b/>
          <w:bCs/>
          <w:color w:val="4A4A4A"/>
          <w:sz w:val="21"/>
          <w:szCs w:val="21"/>
          <w:lang w:val="en-US" w:eastAsia="en-US"/>
        </w:rPr>
        <w:t xml:space="preserve">Concepts: </w:t>
      </w:r>
    </w:p>
    <w:p w14:paraId="503FA5D1"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See Annex 1 with Terms and Definitions. </w:t>
      </w:r>
    </w:p>
    <w:p w14:paraId="6E54D3D6" w14:textId="015D5F1E" w:rsidR="00EC2915" w:rsidRPr="00806E42" w:rsidRDefault="00EC2915" w:rsidP="00576CFA">
      <w:pPr>
        <w:pStyle w:val="MText"/>
        <w:rPr>
          <w:rFonts w:cstheme="minorHAnsi"/>
          <w:lang w:val="en-US"/>
        </w:rPr>
      </w:pPr>
    </w:p>
    <w:p w14:paraId="7932F8BD" w14:textId="3869C451" w:rsidR="008B0AC7" w:rsidRPr="00E43CC4" w:rsidRDefault="00576CFA" w:rsidP="00F41485">
      <w:pPr>
        <w:pStyle w:val="MHeader2"/>
        <w:keepNext/>
        <w:rPr>
          <w:rFonts w:cstheme="minorHAnsi"/>
        </w:rPr>
      </w:pPr>
      <w:r w:rsidRPr="00E43CC4">
        <w:rPr>
          <w:rFonts w:cstheme="minorHAnsi"/>
        </w:rPr>
        <w:t xml:space="preserve">2.b. Unit of measure </w:t>
      </w:r>
      <w:r>
        <w:rPr>
          <w:color w:val="B4B4B4"/>
          <w:sz w:val="20"/>
        </w:rPr>
        <w:t>(UNIT_MEASURE)</w:t>
      </w:r>
    </w:p>
    <w:p w14:paraId="6161B7FB" w14:textId="46F3F836" w:rsidR="001F3245" w:rsidRDefault="001F3245" w:rsidP="00576CFA">
      <w:pPr>
        <w:pStyle w:val="MText"/>
        <w:rPr>
          <w:rFonts w:cstheme="minorHAnsi"/>
        </w:rPr>
      </w:pPr>
    </w:p>
    <w:tbl>
      <w:tblPr>
        <w:tblStyle w:val="TableGrid"/>
        <w:tblW w:w="0" w:type="auto"/>
        <w:tblLook w:val="04A0" w:firstRow="1" w:lastRow="0" w:firstColumn="1" w:lastColumn="0" w:noHBand="0" w:noVBand="1"/>
      </w:tblPr>
      <w:tblGrid>
        <w:gridCol w:w="4848"/>
        <w:gridCol w:w="4168"/>
      </w:tblGrid>
      <w:tr w:rsidR="001F3245" w:rsidRPr="001B7C2B" w14:paraId="771AFE00" w14:textId="77777777" w:rsidTr="001F3245">
        <w:tc>
          <w:tcPr>
            <w:tcW w:w="4848" w:type="dxa"/>
          </w:tcPr>
          <w:p w14:paraId="42FE05EA" w14:textId="7945AA14" w:rsidR="001F3245" w:rsidRPr="0021071D" w:rsidRDefault="001F3245" w:rsidP="00EF3766">
            <w:pPr>
              <w:autoSpaceDE w:val="0"/>
              <w:autoSpaceDN w:val="0"/>
              <w:adjustRightInd w:val="0"/>
              <w:rPr>
                <w:rFonts w:eastAsia="Calibri" w:cstheme="minorHAnsi"/>
                <w:b/>
                <w:bCs/>
                <w:color w:val="4A4A4A"/>
                <w:sz w:val="21"/>
                <w:szCs w:val="21"/>
                <w:lang w:val="en-US" w:eastAsia="en-US"/>
              </w:rPr>
            </w:pPr>
            <w:r w:rsidRPr="0021071D">
              <w:rPr>
                <w:rFonts w:eastAsia="Calibri" w:cstheme="minorHAnsi"/>
                <w:b/>
                <w:bCs/>
                <w:color w:val="4A4A4A"/>
                <w:sz w:val="21"/>
                <w:szCs w:val="21"/>
                <w:lang w:val="en-US" w:eastAsia="en-US"/>
              </w:rPr>
              <w:t>SUB</w:t>
            </w:r>
            <w:r w:rsidR="0021071D">
              <w:rPr>
                <w:rFonts w:eastAsia="Calibri" w:cstheme="minorHAnsi"/>
                <w:b/>
                <w:bCs/>
                <w:color w:val="4A4A4A"/>
                <w:sz w:val="21"/>
                <w:szCs w:val="21"/>
                <w:lang w:val="en-US" w:eastAsia="en-US"/>
              </w:rPr>
              <w:t>-</w:t>
            </w:r>
            <w:r w:rsidRPr="0021071D">
              <w:rPr>
                <w:rFonts w:eastAsia="Calibri" w:cstheme="minorHAnsi"/>
                <w:b/>
                <w:bCs/>
                <w:color w:val="4A4A4A"/>
                <w:sz w:val="21"/>
                <w:szCs w:val="21"/>
                <w:lang w:val="en-US" w:eastAsia="en-US"/>
              </w:rPr>
              <w:t>INDICATOR</w:t>
            </w:r>
          </w:p>
        </w:tc>
        <w:tc>
          <w:tcPr>
            <w:tcW w:w="4168" w:type="dxa"/>
          </w:tcPr>
          <w:p w14:paraId="2635C032" w14:textId="758FA013" w:rsidR="001F3245" w:rsidRPr="0021071D" w:rsidRDefault="001F3245" w:rsidP="00EF3766">
            <w:pPr>
              <w:autoSpaceDE w:val="0"/>
              <w:autoSpaceDN w:val="0"/>
              <w:adjustRightInd w:val="0"/>
              <w:rPr>
                <w:rFonts w:eastAsia="Calibri" w:cstheme="minorHAnsi"/>
                <w:b/>
                <w:bCs/>
                <w:color w:val="4A4A4A"/>
                <w:sz w:val="21"/>
                <w:szCs w:val="21"/>
                <w:lang w:val="en-US" w:eastAsia="en-US"/>
              </w:rPr>
            </w:pPr>
            <w:r w:rsidRPr="0021071D">
              <w:rPr>
                <w:rFonts w:eastAsia="Calibri" w:cstheme="minorHAnsi"/>
                <w:b/>
                <w:bCs/>
                <w:color w:val="4A4A4A"/>
                <w:sz w:val="21"/>
                <w:szCs w:val="21"/>
                <w:lang w:val="en-US" w:eastAsia="en-US"/>
              </w:rPr>
              <w:t>UNIT</w:t>
            </w:r>
          </w:p>
        </w:tc>
      </w:tr>
      <w:tr w:rsidR="001F3245" w:rsidRPr="001B7C2B" w14:paraId="4D928195" w14:textId="57E12F5E" w:rsidTr="001F3245">
        <w:tc>
          <w:tcPr>
            <w:tcW w:w="4848" w:type="dxa"/>
          </w:tcPr>
          <w:p w14:paraId="166C234A" w14:textId="300A847D" w:rsidR="001F3245" w:rsidRPr="001B7C2B" w:rsidRDefault="00D91689" w:rsidP="00EF3766">
            <w:pPr>
              <w:autoSpaceDE w:val="0"/>
              <w:autoSpaceDN w:val="0"/>
              <w:adjustRightInd w:val="0"/>
              <w:rPr>
                <w:rFonts w:eastAsia="Calibri" w:cstheme="minorHAnsi"/>
                <w:color w:val="4A4A4A"/>
                <w:sz w:val="21"/>
                <w:szCs w:val="21"/>
                <w:lang w:val="en-US" w:eastAsia="en-US"/>
              </w:rPr>
            </w:pPr>
            <w:r>
              <w:rPr>
                <w:rFonts w:eastAsia="Calibri" w:cstheme="minorHAnsi"/>
                <w:color w:val="4A4A4A"/>
                <w:sz w:val="21"/>
                <w:szCs w:val="21"/>
                <w:lang w:val="en-US" w:eastAsia="en-US"/>
              </w:rPr>
              <w:t>Annual f</w:t>
            </w:r>
            <w:r w:rsidR="001F3245" w:rsidRPr="001B7C2B">
              <w:rPr>
                <w:rFonts w:eastAsia="Calibri" w:cstheme="minorHAnsi"/>
                <w:color w:val="4A4A4A"/>
                <w:sz w:val="21"/>
                <w:szCs w:val="21"/>
                <w:lang w:val="en-US" w:eastAsia="en-US"/>
              </w:rPr>
              <w:t xml:space="preserve">orest area change rate </w:t>
            </w:r>
          </w:p>
        </w:tc>
        <w:tc>
          <w:tcPr>
            <w:tcW w:w="4168" w:type="dxa"/>
          </w:tcPr>
          <w:p w14:paraId="74E31425" w14:textId="30745051" w:rsidR="001F3245" w:rsidRPr="001B7C2B" w:rsidRDefault="001F3245" w:rsidP="00EF3766">
            <w:pPr>
              <w:autoSpaceDE w:val="0"/>
              <w:autoSpaceDN w:val="0"/>
              <w:adjustRightInd w:val="0"/>
              <w:rPr>
                <w:rFonts w:eastAsia="Calibri" w:cstheme="minorHAnsi"/>
                <w:color w:val="4A4A4A"/>
                <w:sz w:val="21"/>
                <w:szCs w:val="21"/>
                <w:lang w:val="en-US" w:eastAsia="en-US"/>
              </w:rPr>
            </w:pPr>
            <w:r>
              <w:rPr>
                <w:rFonts w:eastAsia="Calibri" w:cstheme="minorHAnsi"/>
                <w:color w:val="4A4A4A"/>
                <w:sz w:val="21"/>
                <w:szCs w:val="21"/>
                <w:lang w:val="en-US" w:eastAsia="en-US"/>
              </w:rPr>
              <w:t>Percent</w:t>
            </w:r>
            <w:r w:rsidR="00745906">
              <w:rPr>
                <w:rFonts w:eastAsia="Calibri" w:cstheme="minorHAnsi"/>
                <w:color w:val="4A4A4A"/>
                <w:sz w:val="21"/>
                <w:szCs w:val="21"/>
                <w:lang w:val="en-US" w:eastAsia="en-US"/>
              </w:rPr>
              <w:t xml:space="preserve"> (%)</w:t>
            </w:r>
          </w:p>
        </w:tc>
      </w:tr>
      <w:tr w:rsidR="001F3245" w:rsidRPr="001B7C2B" w14:paraId="01D447C9" w14:textId="4688B7F7" w:rsidTr="001F3245">
        <w:tc>
          <w:tcPr>
            <w:tcW w:w="4848" w:type="dxa"/>
          </w:tcPr>
          <w:p w14:paraId="088217B6" w14:textId="35D3F6D8" w:rsidR="001F3245" w:rsidRPr="001B7C2B" w:rsidRDefault="001F3245" w:rsidP="006F5B16">
            <w:pPr>
              <w:autoSpaceDE w:val="0"/>
              <w:autoSpaceDN w:val="0"/>
              <w:adjustRightInd w:val="0"/>
              <w:rPr>
                <w:rFonts w:eastAsia="Calibri" w:cstheme="minorHAnsi"/>
                <w:color w:val="4A4A4A"/>
                <w:sz w:val="21"/>
                <w:szCs w:val="21"/>
                <w:lang w:val="en-US" w:eastAsia="en-US"/>
              </w:rPr>
            </w:pPr>
            <w:r w:rsidRPr="001B7C2B">
              <w:rPr>
                <w:rFonts w:eastAsia="Calibri" w:cstheme="minorHAnsi"/>
                <w:color w:val="4A4A4A"/>
                <w:sz w:val="21"/>
                <w:szCs w:val="21"/>
                <w:lang w:val="en-US" w:eastAsia="en-US"/>
              </w:rPr>
              <w:t xml:space="preserve">Above-ground biomass in forest </w:t>
            </w:r>
          </w:p>
        </w:tc>
        <w:tc>
          <w:tcPr>
            <w:tcW w:w="4168" w:type="dxa"/>
          </w:tcPr>
          <w:p w14:paraId="0606678F" w14:textId="4F233F4A" w:rsidR="001F3245" w:rsidRPr="001B7C2B" w:rsidRDefault="001F3245" w:rsidP="00EF3766">
            <w:pPr>
              <w:autoSpaceDE w:val="0"/>
              <w:autoSpaceDN w:val="0"/>
              <w:adjustRightInd w:val="0"/>
              <w:rPr>
                <w:rFonts w:eastAsia="Calibri" w:cstheme="minorHAnsi"/>
                <w:color w:val="4A4A4A"/>
                <w:sz w:val="21"/>
                <w:szCs w:val="21"/>
                <w:lang w:val="en-US" w:eastAsia="en-US"/>
              </w:rPr>
            </w:pPr>
            <w:proofErr w:type="spellStart"/>
            <w:r>
              <w:rPr>
                <w:rFonts w:eastAsia="Calibri" w:cstheme="minorHAnsi"/>
                <w:color w:val="4A4A4A"/>
                <w:sz w:val="21"/>
                <w:szCs w:val="21"/>
                <w:lang w:val="en-US" w:eastAsia="en-US"/>
              </w:rPr>
              <w:t>Tonnes</w:t>
            </w:r>
            <w:proofErr w:type="spellEnd"/>
            <w:r>
              <w:rPr>
                <w:rFonts w:eastAsia="Calibri" w:cstheme="minorHAnsi"/>
                <w:color w:val="4A4A4A"/>
                <w:sz w:val="21"/>
                <w:szCs w:val="21"/>
                <w:lang w:val="en-US" w:eastAsia="en-US"/>
              </w:rPr>
              <w:t xml:space="preserve"> per hectare</w:t>
            </w:r>
          </w:p>
        </w:tc>
      </w:tr>
      <w:tr w:rsidR="001F3245" w:rsidRPr="001B7C2B" w14:paraId="745E74EA" w14:textId="3EBF90D9" w:rsidTr="001F3245">
        <w:tc>
          <w:tcPr>
            <w:tcW w:w="4848" w:type="dxa"/>
          </w:tcPr>
          <w:p w14:paraId="47D29301" w14:textId="7BDD1AFD" w:rsidR="001F3245" w:rsidRPr="001B7C2B" w:rsidRDefault="001F3245" w:rsidP="006F5B16">
            <w:pPr>
              <w:autoSpaceDE w:val="0"/>
              <w:autoSpaceDN w:val="0"/>
              <w:adjustRightInd w:val="0"/>
              <w:rPr>
                <w:rFonts w:eastAsia="Calibri" w:cstheme="minorHAnsi"/>
                <w:color w:val="4A4A4A"/>
                <w:sz w:val="21"/>
                <w:szCs w:val="21"/>
                <w:lang w:val="en-US" w:eastAsia="en-US"/>
              </w:rPr>
            </w:pPr>
            <w:r w:rsidRPr="001B7C2B">
              <w:rPr>
                <w:rFonts w:eastAsia="Calibri" w:cstheme="minorHAnsi"/>
                <w:color w:val="4A4A4A"/>
                <w:sz w:val="21"/>
                <w:szCs w:val="21"/>
                <w:lang w:val="en-US" w:eastAsia="en-US"/>
              </w:rPr>
              <w:t>Proportion of forest area within legally established protect</w:t>
            </w:r>
            <w:r w:rsidR="006F5B16">
              <w:rPr>
                <w:rFonts w:eastAsia="Calibri" w:cstheme="minorHAnsi"/>
                <w:color w:val="4A4A4A"/>
                <w:sz w:val="21"/>
                <w:szCs w:val="21"/>
                <w:lang w:val="en-US" w:eastAsia="en-US"/>
              </w:rPr>
              <w:t>ed</w:t>
            </w:r>
            <w:r w:rsidRPr="001B7C2B">
              <w:rPr>
                <w:rFonts w:eastAsia="Calibri" w:cstheme="minorHAnsi"/>
                <w:color w:val="4A4A4A"/>
                <w:sz w:val="21"/>
                <w:szCs w:val="21"/>
                <w:lang w:val="en-US" w:eastAsia="en-US"/>
              </w:rPr>
              <w:t xml:space="preserve"> areas </w:t>
            </w:r>
          </w:p>
        </w:tc>
        <w:tc>
          <w:tcPr>
            <w:tcW w:w="4168" w:type="dxa"/>
          </w:tcPr>
          <w:p w14:paraId="56249BA3" w14:textId="6BC8199D" w:rsidR="001F3245" w:rsidRPr="001B7C2B" w:rsidRDefault="001F3245" w:rsidP="00EF3766">
            <w:pPr>
              <w:autoSpaceDE w:val="0"/>
              <w:autoSpaceDN w:val="0"/>
              <w:adjustRightInd w:val="0"/>
              <w:rPr>
                <w:rFonts w:eastAsia="Calibri" w:cstheme="minorHAnsi"/>
                <w:color w:val="4A4A4A"/>
                <w:sz w:val="21"/>
                <w:szCs w:val="21"/>
                <w:lang w:val="en-US" w:eastAsia="en-US"/>
              </w:rPr>
            </w:pPr>
            <w:r>
              <w:rPr>
                <w:rFonts w:eastAsia="Calibri" w:cstheme="minorHAnsi"/>
                <w:color w:val="4A4A4A"/>
                <w:sz w:val="21"/>
                <w:szCs w:val="21"/>
                <w:lang w:val="en-US" w:eastAsia="en-US"/>
              </w:rPr>
              <w:t>Percent</w:t>
            </w:r>
            <w:r w:rsidR="00745906">
              <w:rPr>
                <w:rFonts w:eastAsia="Calibri" w:cstheme="minorHAnsi"/>
                <w:color w:val="4A4A4A"/>
                <w:sz w:val="21"/>
                <w:szCs w:val="21"/>
                <w:lang w:val="en-US" w:eastAsia="en-US"/>
              </w:rPr>
              <w:t xml:space="preserve"> (%)</w:t>
            </w:r>
          </w:p>
        </w:tc>
      </w:tr>
      <w:tr w:rsidR="001F3245" w:rsidRPr="001B7C2B" w14:paraId="41B922FE" w14:textId="5573AF01" w:rsidTr="001F3245">
        <w:tc>
          <w:tcPr>
            <w:tcW w:w="4848" w:type="dxa"/>
          </w:tcPr>
          <w:p w14:paraId="66B826E6" w14:textId="6B6B750F" w:rsidR="001F3245" w:rsidRPr="001B7C2B" w:rsidRDefault="001F3245" w:rsidP="006F5B16">
            <w:pPr>
              <w:autoSpaceDE w:val="0"/>
              <w:autoSpaceDN w:val="0"/>
              <w:adjustRightInd w:val="0"/>
              <w:rPr>
                <w:rFonts w:eastAsia="Calibri" w:cstheme="minorHAnsi"/>
                <w:color w:val="4A4A4A"/>
                <w:sz w:val="21"/>
                <w:szCs w:val="21"/>
                <w:lang w:val="en-US" w:eastAsia="en-US"/>
              </w:rPr>
            </w:pPr>
            <w:r w:rsidRPr="001B7C2B">
              <w:rPr>
                <w:rFonts w:eastAsia="Calibri" w:cstheme="minorHAnsi"/>
                <w:color w:val="4A4A4A"/>
                <w:sz w:val="21"/>
                <w:szCs w:val="21"/>
                <w:lang w:val="en-US" w:eastAsia="en-US"/>
              </w:rPr>
              <w:t>Proportion of forest area under a long</w:t>
            </w:r>
            <w:r>
              <w:rPr>
                <w:rFonts w:eastAsia="Calibri" w:cstheme="minorHAnsi"/>
                <w:color w:val="4A4A4A"/>
                <w:sz w:val="21"/>
                <w:szCs w:val="21"/>
                <w:lang w:val="en-US" w:eastAsia="en-US"/>
              </w:rPr>
              <w:t>-</w:t>
            </w:r>
            <w:r w:rsidRPr="001B7C2B">
              <w:rPr>
                <w:rFonts w:eastAsia="Calibri" w:cstheme="minorHAnsi"/>
                <w:color w:val="4A4A4A"/>
                <w:sz w:val="21"/>
                <w:szCs w:val="21"/>
                <w:lang w:val="en-US" w:eastAsia="en-US"/>
              </w:rPr>
              <w:t xml:space="preserve">term management plan </w:t>
            </w:r>
          </w:p>
        </w:tc>
        <w:tc>
          <w:tcPr>
            <w:tcW w:w="4168" w:type="dxa"/>
          </w:tcPr>
          <w:p w14:paraId="520D9DB1" w14:textId="64402D80" w:rsidR="001F3245" w:rsidRPr="001B7C2B" w:rsidRDefault="001F3245" w:rsidP="00EF3766">
            <w:pPr>
              <w:autoSpaceDE w:val="0"/>
              <w:autoSpaceDN w:val="0"/>
              <w:adjustRightInd w:val="0"/>
              <w:rPr>
                <w:rFonts w:eastAsia="Calibri" w:cstheme="minorHAnsi"/>
                <w:color w:val="4A4A4A"/>
                <w:sz w:val="21"/>
                <w:szCs w:val="21"/>
                <w:lang w:val="en-US" w:eastAsia="en-US"/>
              </w:rPr>
            </w:pPr>
            <w:r>
              <w:rPr>
                <w:rFonts w:eastAsia="Calibri" w:cstheme="minorHAnsi"/>
                <w:color w:val="4A4A4A"/>
                <w:sz w:val="21"/>
                <w:szCs w:val="21"/>
                <w:lang w:val="en-US" w:eastAsia="en-US"/>
              </w:rPr>
              <w:t>Percent</w:t>
            </w:r>
            <w:r w:rsidR="00745906">
              <w:rPr>
                <w:rFonts w:eastAsia="Calibri" w:cstheme="minorHAnsi"/>
                <w:color w:val="4A4A4A"/>
                <w:sz w:val="21"/>
                <w:szCs w:val="21"/>
                <w:lang w:val="en-US" w:eastAsia="en-US"/>
              </w:rPr>
              <w:t xml:space="preserve"> (%)</w:t>
            </w:r>
          </w:p>
        </w:tc>
      </w:tr>
      <w:tr w:rsidR="001F3245" w:rsidRPr="001B7C2B" w14:paraId="2EEA9EEE" w14:textId="6F677174" w:rsidTr="001F3245">
        <w:tc>
          <w:tcPr>
            <w:tcW w:w="4848" w:type="dxa"/>
          </w:tcPr>
          <w:p w14:paraId="76803127" w14:textId="77777777" w:rsidR="001F3245" w:rsidRPr="001B7C2B" w:rsidRDefault="001F3245" w:rsidP="00EF3766">
            <w:pPr>
              <w:autoSpaceDE w:val="0"/>
              <w:autoSpaceDN w:val="0"/>
              <w:adjustRightInd w:val="0"/>
              <w:rPr>
                <w:rFonts w:eastAsia="Calibri" w:cstheme="minorHAnsi"/>
                <w:color w:val="4A4A4A"/>
                <w:sz w:val="21"/>
                <w:szCs w:val="21"/>
                <w:lang w:val="en-US" w:eastAsia="en-US"/>
              </w:rPr>
            </w:pPr>
            <w:r w:rsidRPr="001B7C2B">
              <w:rPr>
                <w:rFonts w:eastAsia="Calibri" w:cstheme="minorHAnsi"/>
                <w:color w:val="4A4A4A"/>
                <w:sz w:val="21"/>
                <w:szCs w:val="21"/>
                <w:lang w:val="en-US" w:eastAsia="en-US"/>
              </w:rPr>
              <w:t xml:space="preserve">Forest area under an independently verified forest management certification scheme </w:t>
            </w:r>
          </w:p>
        </w:tc>
        <w:tc>
          <w:tcPr>
            <w:tcW w:w="4168" w:type="dxa"/>
          </w:tcPr>
          <w:p w14:paraId="6E786D64" w14:textId="79AADD9C" w:rsidR="001F3245" w:rsidRPr="001B7C2B" w:rsidRDefault="001F3245" w:rsidP="00EF3766">
            <w:pPr>
              <w:autoSpaceDE w:val="0"/>
              <w:autoSpaceDN w:val="0"/>
              <w:adjustRightInd w:val="0"/>
              <w:rPr>
                <w:rFonts w:eastAsia="Calibri" w:cstheme="minorHAnsi"/>
                <w:color w:val="4A4A4A"/>
                <w:sz w:val="21"/>
                <w:szCs w:val="21"/>
                <w:lang w:val="en-US" w:eastAsia="en-US"/>
              </w:rPr>
            </w:pPr>
            <w:r>
              <w:rPr>
                <w:rFonts w:eastAsia="Calibri" w:cstheme="minorHAnsi"/>
                <w:color w:val="4A4A4A"/>
                <w:sz w:val="21"/>
                <w:szCs w:val="21"/>
                <w:lang w:val="en-US" w:eastAsia="en-US"/>
              </w:rPr>
              <w:t>1000 hectares</w:t>
            </w:r>
          </w:p>
        </w:tc>
      </w:tr>
    </w:tbl>
    <w:p w14:paraId="20199CBD" w14:textId="77777777" w:rsidR="001F3245" w:rsidRPr="001F3245" w:rsidRDefault="001F3245" w:rsidP="00576CFA">
      <w:pPr>
        <w:pStyle w:val="MText"/>
        <w:rPr>
          <w:rFonts w:cstheme="minorHAnsi"/>
          <w:lang w:val="en-US"/>
        </w:rPr>
      </w:pPr>
    </w:p>
    <w:p w14:paraId="651AA7AC" w14:textId="5144B8C4" w:rsidR="00DA615C" w:rsidRPr="00E43CC4" w:rsidRDefault="008B0AC7" w:rsidP="00F719A8">
      <w:pPr>
        <w:pStyle w:val="MHeader2"/>
        <w:rPr>
          <w:rFonts w:cstheme="minorHAnsi"/>
        </w:rPr>
      </w:pPr>
      <w:r w:rsidRPr="00E43CC4">
        <w:rPr>
          <w:rFonts w:cstheme="minorHAnsi"/>
        </w:rPr>
        <w:t xml:space="preserve">2.c. Classifications </w:t>
      </w:r>
      <w:r>
        <w:rPr>
          <w:color w:val="B4B4B4"/>
          <w:sz w:val="20"/>
        </w:rPr>
        <w:t>(CLASS_SYSTEM)</w:t>
      </w:r>
    </w:p>
    <w:p w14:paraId="123172F4" w14:textId="68A85CFF" w:rsidR="00F719A8" w:rsidRDefault="006F5B16" w:rsidP="00576CFA">
      <w:pPr>
        <w:pStyle w:val="MText"/>
        <w:rPr>
          <w:rFonts w:cstheme="minorHAnsi"/>
        </w:rPr>
      </w:pPr>
      <w:r>
        <w:rPr>
          <w:rFonts w:cstheme="minorHAnsi"/>
        </w:rPr>
        <w:t>Not applicable</w:t>
      </w:r>
    </w:p>
    <w:p w14:paraId="1E04967A" w14:textId="77777777" w:rsidR="006F5B16" w:rsidRPr="00E43CC4" w:rsidRDefault="006F5B16" w:rsidP="00576CFA">
      <w:pPr>
        <w:pStyle w:val="MText"/>
        <w:rPr>
          <w:rFonts w:cstheme="minorHAnsi"/>
        </w:rPr>
      </w:pPr>
    </w:p>
    <w:p w14:paraId="1D3AEECA" w14:textId="4C5EC949" w:rsidR="00B31E2C" w:rsidRPr="00E43CC4" w:rsidRDefault="00B31E2C" w:rsidP="002449B6">
      <w:pPr>
        <w:pStyle w:val="MHeader"/>
        <w:keepNext/>
        <w:rPr>
          <w:rFonts w:cstheme="minorHAnsi"/>
        </w:rPr>
      </w:pPr>
      <w:r w:rsidRPr="00E43CC4">
        <w:rPr>
          <w:rFonts w:cstheme="minorHAnsi"/>
        </w:rPr>
        <w:lastRenderedPageBreak/>
        <w:t xml:space="preserve">3. Data source type and data collection method </w:t>
      </w:r>
      <w:r>
        <w:rPr>
          <w:color w:val="B4B4B4"/>
          <w:sz w:val="20"/>
        </w:rPr>
        <w:t>(SRC_TYPE_COLL_METHOD)</w:t>
      </w:r>
    </w:p>
    <w:p w14:paraId="340B050E" w14:textId="15B75F16" w:rsidR="008B0AC7" w:rsidRPr="00E43CC4" w:rsidRDefault="008B0AC7" w:rsidP="002449B6">
      <w:pPr>
        <w:pStyle w:val="MHeader2"/>
        <w:keepNext/>
        <w:rPr>
          <w:rFonts w:cstheme="minorHAnsi"/>
        </w:rPr>
      </w:pPr>
      <w:r w:rsidRPr="00E43CC4">
        <w:rPr>
          <w:rFonts w:cstheme="minorHAnsi"/>
        </w:rPr>
        <w:t xml:space="preserve">3.a. Data sources </w:t>
      </w:r>
      <w:r>
        <w:rPr>
          <w:color w:val="B4B4B4"/>
          <w:sz w:val="20"/>
        </w:rPr>
        <w:t>(SOURCE_TYPE)</w:t>
      </w:r>
    </w:p>
    <w:p w14:paraId="5BAF305F" w14:textId="77777777" w:rsidR="008D1DD3" w:rsidRPr="00E43CC4" w:rsidRDefault="008D1DD3" w:rsidP="002449B6">
      <w:pPr>
        <w:keepNext/>
        <w:shd w:val="clear" w:color="auto" w:fill="F5F5F5"/>
        <w:spacing w:after="0"/>
        <w:outlineLvl w:val="1"/>
        <w:rPr>
          <w:rFonts w:eastAsia="Times New Roman" w:cstheme="minorHAnsi"/>
          <w:color w:val="1C75BC"/>
          <w:lang w:eastAsia="en-GB"/>
        </w:rPr>
      </w:pPr>
      <w:r w:rsidRPr="00E43CC4">
        <w:rPr>
          <w:rFonts w:eastAsia="Times New Roman" w:cstheme="minorHAnsi"/>
          <w:color w:val="1C75BC"/>
          <w:lang w:eastAsia="en-GB"/>
        </w:rPr>
        <w:t>Sub-indicators 1 to 4</w:t>
      </w:r>
    </w:p>
    <w:p w14:paraId="0BDDE28D" w14:textId="025725E2" w:rsidR="008D1DD3" w:rsidRDefault="00EF3766" w:rsidP="008D1DD3">
      <w:pPr>
        <w:shd w:val="clear" w:color="auto" w:fill="FFFFFF"/>
        <w:spacing w:after="0" w:line="256" w:lineRule="auto"/>
        <w:contextualSpacing/>
        <w:rPr>
          <w:rFonts w:eastAsia="Times New Roman" w:cstheme="minorHAnsi"/>
          <w:color w:val="4A4A4A"/>
          <w:sz w:val="21"/>
          <w:szCs w:val="21"/>
          <w:lang w:val="en-US" w:eastAsia="en-GB"/>
        </w:rPr>
      </w:pPr>
      <w:r>
        <w:rPr>
          <w:rFonts w:eastAsia="Times New Roman" w:cstheme="minorHAnsi"/>
          <w:color w:val="4A4A4A"/>
          <w:sz w:val="21"/>
          <w:szCs w:val="21"/>
          <w:lang w:val="en-US" w:eastAsia="en-GB"/>
        </w:rPr>
        <w:t xml:space="preserve">Data </w:t>
      </w:r>
      <w:proofErr w:type="gramStart"/>
      <w:r>
        <w:rPr>
          <w:rFonts w:eastAsia="Times New Roman" w:cstheme="minorHAnsi"/>
          <w:color w:val="4A4A4A"/>
          <w:sz w:val="21"/>
          <w:szCs w:val="21"/>
          <w:lang w:val="en-US" w:eastAsia="en-GB"/>
        </w:rPr>
        <w:t>are</w:t>
      </w:r>
      <w:proofErr w:type="gramEnd"/>
      <w:r>
        <w:rPr>
          <w:rFonts w:eastAsia="Times New Roman" w:cstheme="minorHAnsi"/>
          <w:color w:val="4A4A4A"/>
          <w:sz w:val="21"/>
          <w:szCs w:val="21"/>
          <w:lang w:val="en-US" w:eastAsia="en-GB"/>
        </w:rPr>
        <w:t xml:space="preserve"> collected by FAO through the </w:t>
      </w:r>
      <w:r w:rsidR="008D1DD3" w:rsidRPr="00E43CC4">
        <w:rPr>
          <w:rFonts w:eastAsia="Times New Roman" w:cstheme="minorHAnsi"/>
          <w:color w:val="4A4A4A"/>
          <w:sz w:val="21"/>
          <w:szCs w:val="21"/>
          <w:lang w:val="en-US" w:eastAsia="en-GB"/>
        </w:rPr>
        <w:t>Global Forest Resources Assessment (FRA)</w:t>
      </w:r>
      <w:r>
        <w:rPr>
          <w:rFonts w:eastAsia="Times New Roman" w:cstheme="minorHAnsi"/>
          <w:color w:val="4A4A4A"/>
          <w:sz w:val="21"/>
          <w:szCs w:val="21"/>
          <w:lang w:val="en-US" w:eastAsia="en-GB"/>
        </w:rPr>
        <w:t xml:space="preserve">. Assessments have been carried out at regular intervals since </w:t>
      </w:r>
      <w:r w:rsidR="00E16C64">
        <w:rPr>
          <w:rFonts w:eastAsia="Times New Roman" w:cstheme="minorHAnsi"/>
          <w:color w:val="4A4A4A"/>
          <w:sz w:val="21"/>
          <w:szCs w:val="21"/>
          <w:lang w:val="en-US" w:eastAsia="en-GB"/>
        </w:rPr>
        <w:t>1946 and</w:t>
      </w:r>
      <w:r w:rsidR="008D1DD3" w:rsidRPr="00E43CC4">
        <w:rPr>
          <w:rFonts w:eastAsia="Times New Roman" w:cstheme="minorHAnsi"/>
          <w:color w:val="4A4A4A"/>
          <w:sz w:val="21"/>
          <w:szCs w:val="21"/>
          <w:lang w:val="en-US" w:eastAsia="en-GB"/>
        </w:rPr>
        <w:t xml:space="preserve"> are now produced every five year</w:t>
      </w:r>
      <w:r w:rsidR="00743828">
        <w:rPr>
          <w:rFonts w:eastAsia="Times New Roman" w:cstheme="minorHAnsi"/>
          <w:color w:val="4A4A4A"/>
          <w:sz w:val="21"/>
          <w:szCs w:val="21"/>
          <w:lang w:val="en-US" w:eastAsia="en-GB"/>
        </w:rPr>
        <w:t>s</w:t>
      </w:r>
      <w:r w:rsidR="008D1DD3" w:rsidRPr="00E43CC4">
        <w:rPr>
          <w:rFonts w:eastAsia="Times New Roman" w:cstheme="minorHAnsi"/>
          <w:color w:val="4A4A4A"/>
          <w:sz w:val="21"/>
          <w:szCs w:val="21"/>
          <w:lang w:val="en-US" w:eastAsia="en-GB"/>
        </w:rPr>
        <w:t xml:space="preserve">. The latest of these assessments, FRA </w:t>
      </w:r>
      <w:r w:rsidR="00B92738" w:rsidRPr="00E43CC4">
        <w:rPr>
          <w:rFonts w:eastAsia="Times New Roman" w:cstheme="minorHAnsi"/>
          <w:color w:val="4A4A4A"/>
          <w:sz w:val="21"/>
          <w:szCs w:val="21"/>
          <w:lang w:val="en-US" w:eastAsia="en-GB"/>
        </w:rPr>
        <w:t>202</w:t>
      </w:r>
      <w:r w:rsidR="00B92738">
        <w:rPr>
          <w:rFonts w:eastAsia="Times New Roman" w:cstheme="minorHAnsi"/>
          <w:color w:val="4A4A4A"/>
          <w:sz w:val="21"/>
          <w:szCs w:val="21"/>
          <w:lang w:val="en-US" w:eastAsia="en-GB"/>
        </w:rPr>
        <w:t>5</w:t>
      </w:r>
      <w:r w:rsidR="008D1DD3" w:rsidRPr="00E43CC4">
        <w:rPr>
          <w:rFonts w:eastAsia="Times New Roman" w:cstheme="minorHAnsi"/>
          <w:color w:val="4A4A4A"/>
          <w:sz w:val="21"/>
          <w:szCs w:val="21"/>
          <w:lang w:val="en-US" w:eastAsia="en-GB"/>
        </w:rPr>
        <w:t xml:space="preserve">, contains information for 236 countries and territories on </w:t>
      </w:r>
      <w:r w:rsidR="00B976FE">
        <w:rPr>
          <w:rFonts w:eastAsia="Times New Roman" w:cstheme="minorHAnsi"/>
          <w:color w:val="4A4A4A"/>
          <w:sz w:val="21"/>
          <w:szCs w:val="21"/>
          <w:lang w:val="en-US" w:eastAsia="en-GB"/>
        </w:rPr>
        <w:t>around</w:t>
      </w:r>
      <w:r w:rsidR="00B976FE" w:rsidRPr="00E43CC4">
        <w:rPr>
          <w:rFonts w:eastAsia="Times New Roman" w:cstheme="minorHAnsi"/>
          <w:color w:val="4A4A4A"/>
          <w:sz w:val="21"/>
          <w:szCs w:val="21"/>
          <w:lang w:val="en-US" w:eastAsia="en-GB"/>
        </w:rPr>
        <w:t xml:space="preserve"> </w:t>
      </w:r>
      <w:r w:rsidR="00B976FE">
        <w:rPr>
          <w:rFonts w:eastAsia="Times New Roman" w:cstheme="minorHAnsi"/>
          <w:color w:val="4A4A4A"/>
          <w:sz w:val="21"/>
          <w:szCs w:val="21"/>
          <w:lang w:val="en-US" w:eastAsia="en-GB"/>
        </w:rPr>
        <w:t xml:space="preserve">50 </w:t>
      </w:r>
      <w:r w:rsidR="008D1DD3" w:rsidRPr="00E43CC4">
        <w:rPr>
          <w:rFonts w:eastAsia="Times New Roman" w:cstheme="minorHAnsi"/>
          <w:color w:val="4A4A4A"/>
          <w:sz w:val="21"/>
          <w:szCs w:val="21"/>
          <w:lang w:val="en-US" w:eastAsia="en-GB"/>
        </w:rPr>
        <w:t>variables related to the extent of forests, their conditions, uses</w:t>
      </w:r>
      <w:r w:rsidR="00BB5EAB">
        <w:rPr>
          <w:rFonts w:eastAsia="Times New Roman" w:cstheme="minorHAnsi"/>
          <w:color w:val="4A4A4A"/>
          <w:sz w:val="21"/>
          <w:szCs w:val="21"/>
          <w:lang w:val="en-US" w:eastAsia="en-GB"/>
        </w:rPr>
        <w:t>,</w:t>
      </w:r>
      <w:r w:rsidR="008D1DD3" w:rsidRPr="00E43CC4">
        <w:rPr>
          <w:rFonts w:eastAsia="Times New Roman" w:cstheme="minorHAnsi"/>
          <w:color w:val="4A4A4A"/>
          <w:sz w:val="21"/>
          <w:szCs w:val="21"/>
          <w:lang w:val="en-US" w:eastAsia="en-GB"/>
        </w:rPr>
        <w:t xml:space="preserve"> and </w:t>
      </w:r>
      <w:r w:rsidR="00E711DA">
        <w:rPr>
          <w:rFonts w:eastAsia="Times New Roman" w:cstheme="minorHAnsi"/>
          <w:color w:val="4A4A4A"/>
          <w:sz w:val="21"/>
          <w:szCs w:val="21"/>
          <w:lang w:val="en-US" w:eastAsia="en-GB"/>
        </w:rPr>
        <w:t>management</w:t>
      </w:r>
      <w:r w:rsidR="008D1DD3" w:rsidRPr="00E43CC4">
        <w:rPr>
          <w:rFonts w:eastAsia="Times New Roman" w:cstheme="minorHAnsi"/>
          <w:color w:val="4A4A4A"/>
          <w:sz w:val="21"/>
          <w:szCs w:val="21"/>
          <w:lang w:val="en-US" w:eastAsia="en-GB"/>
        </w:rPr>
        <w:t xml:space="preserve"> for several points in time. </w:t>
      </w:r>
    </w:p>
    <w:p w14:paraId="2CF59702" w14:textId="77777777" w:rsidR="001F3245" w:rsidRPr="00957524" w:rsidRDefault="001F3245" w:rsidP="00957524">
      <w:pPr>
        <w:autoSpaceDE w:val="0"/>
        <w:autoSpaceDN w:val="0"/>
        <w:adjustRightInd w:val="0"/>
        <w:spacing w:after="120"/>
        <w:rPr>
          <w:color w:val="4A4A4A"/>
          <w:sz w:val="21"/>
          <w:lang w:val="en-US"/>
        </w:rPr>
      </w:pPr>
    </w:p>
    <w:p w14:paraId="64AEF294" w14:textId="77777777" w:rsidR="001F3245" w:rsidRPr="00E43CC4" w:rsidRDefault="001F3245" w:rsidP="001F3245">
      <w:pPr>
        <w:shd w:val="clear" w:color="auto" w:fill="F5F5F5"/>
        <w:spacing w:after="0"/>
        <w:outlineLvl w:val="1"/>
        <w:rPr>
          <w:rFonts w:eastAsia="Times New Roman" w:cstheme="minorHAnsi"/>
          <w:color w:val="1C75BC"/>
          <w:lang w:eastAsia="en-GB"/>
        </w:rPr>
      </w:pPr>
      <w:r w:rsidRPr="00E43CC4">
        <w:rPr>
          <w:rFonts w:eastAsia="Times New Roman" w:cstheme="minorHAnsi"/>
          <w:color w:val="1C75BC"/>
          <w:lang w:eastAsia="en-GB"/>
        </w:rPr>
        <w:t>Sub-indicator 5</w:t>
      </w:r>
    </w:p>
    <w:p w14:paraId="222A8D20" w14:textId="4B30ECA9" w:rsidR="00B82BA0" w:rsidRPr="00E43CC4" w:rsidRDefault="00B82BA0" w:rsidP="00B82BA0">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Currently, forest certification by the Forest Stewardship Council (FSC) and the </w:t>
      </w:r>
      <w:proofErr w:type="spellStart"/>
      <w:r w:rsidRPr="00E43CC4">
        <w:rPr>
          <w:rFonts w:eastAsia="Calibri" w:cstheme="minorHAnsi"/>
          <w:color w:val="4A4A4A"/>
          <w:sz w:val="21"/>
          <w:szCs w:val="21"/>
          <w:lang w:val="en-US" w:eastAsia="en-US"/>
        </w:rPr>
        <w:t>Programme</w:t>
      </w:r>
      <w:proofErr w:type="spellEnd"/>
      <w:r w:rsidRPr="00E43CC4">
        <w:rPr>
          <w:rFonts w:eastAsia="Calibri" w:cstheme="minorHAnsi"/>
          <w:color w:val="4A4A4A"/>
          <w:sz w:val="21"/>
          <w:szCs w:val="21"/>
          <w:lang w:val="en-US" w:eastAsia="en-US"/>
        </w:rPr>
        <w:t xml:space="preserve"> for the Endorsement of Forest Certification (PEFC) are included in the data submissions. The latter includes several national/regional certification schemes that have been endorsed according to the PEFC standards. </w:t>
      </w:r>
    </w:p>
    <w:p w14:paraId="21CDAB48" w14:textId="3C2A1236" w:rsidR="001F3245" w:rsidRPr="00E43CC4" w:rsidRDefault="001F3245" w:rsidP="001F3245">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Data on forest certification </w:t>
      </w:r>
      <w:proofErr w:type="gramStart"/>
      <w:r w:rsidR="00E16C64">
        <w:rPr>
          <w:rFonts w:eastAsia="Calibri" w:cstheme="minorHAnsi"/>
          <w:color w:val="4A4A4A"/>
          <w:sz w:val="21"/>
          <w:szCs w:val="21"/>
          <w:lang w:val="en-US" w:eastAsia="en-US"/>
        </w:rPr>
        <w:t>are</w:t>
      </w:r>
      <w:proofErr w:type="gramEnd"/>
      <w:r w:rsidRPr="00E43CC4">
        <w:rPr>
          <w:rFonts w:eastAsia="Calibri" w:cstheme="minorHAnsi"/>
          <w:color w:val="4A4A4A"/>
          <w:sz w:val="21"/>
          <w:szCs w:val="21"/>
          <w:lang w:val="en-US" w:eastAsia="en-US"/>
        </w:rPr>
        <w:t xml:space="preserve"> submitted annually to FAO by the head offices of the respective forest certification scheme. Data </w:t>
      </w:r>
      <w:proofErr w:type="gramStart"/>
      <w:r w:rsidRPr="00E43CC4">
        <w:rPr>
          <w:rFonts w:eastAsia="Calibri" w:cstheme="minorHAnsi"/>
          <w:color w:val="4A4A4A"/>
          <w:sz w:val="21"/>
          <w:szCs w:val="21"/>
          <w:lang w:val="en-US" w:eastAsia="en-US"/>
        </w:rPr>
        <w:t>include</w:t>
      </w:r>
      <w:proofErr w:type="gramEnd"/>
      <w:r w:rsidRPr="00E43CC4">
        <w:rPr>
          <w:rFonts w:eastAsia="Calibri" w:cstheme="minorHAnsi"/>
          <w:color w:val="4A4A4A"/>
          <w:sz w:val="21"/>
          <w:szCs w:val="21"/>
          <w:lang w:val="en-US" w:eastAsia="en-US"/>
        </w:rPr>
        <w:t xml:space="preserve"> the area certified by each scheme, as well as areas that are double-certified</w:t>
      </w:r>
      <w:r w:rsidR="00801A18">
        <w:rPr>
          <w:rFonts w:eastAsia="Calibri" w:cstheme="minorHAnsi"/>
          <w:color w:val="4A4A4A"/>
          <w:sz w:val="21"/>
          <w:szCs w:val="21"/>
          <w:lang w:val="en-US" w:eastAsia="en-US"/>
        </w:rPr>
        <w:t>, which means areas certified</w:t>
      </w:r>
      <w:r w:rsidRPr="00E43CC4">
        <w:rPr>
          <w:rFonts w:eastAsia="Calibri" w:cstheme="minorHAnsi"/>
          <w:color w:val="4A4A4A"/>
          <w:sz w:val="21"/>
          <w:szCs w:val="21"/>
          <w:lang w:val="en-US" w:eastAsia="en-US"/>
        </w:rPr>
        <w:t xml:space="preserve"> by</w:t>
      </w:r>
      <w:r w:rsidR="00801A18">
        <w:rPr>
          <w:rFonts w:eastAsia="Calibri" w:cstheme="minorHAnsi"/>
          <w:color w:val="4A4A4A"/>
          <w:sz w:val="21"/>
          <w:szCs w:val="21"/>
          <w:lang w:val="en-US" w:eastAsia="en-US"/>
        </w:rPr>
        <w:t xml:space="preserve"> </w:t>
      </w:r>
      <w:proofErr w:type="gramStart"/>
      <w:r w:rsidR="00801A18">
        <w:rPr>
          <w:rFonts w:eastAsia="Calibri" w:cstheme="minorHAnsi"/>
          <w:color w:val="4A4A4A"/>
          <w:sz w:val="21"/>
          <w:szCs w:val="21"/>
          <w:lang w:val="en-US" w:eastAsia="en-US"/>
        </w:rPr>
        <w:t>both of</w:t>
      </w:r>
      <w:r w:rsidRPr="00E43CC4">
        <w:rPr>
          <w:rFonts w:eastAsia="Calibri" w:cstheme="minorHAnsi"/>
          <w:color w:val="4A4A4A"/>
          <w:sz w:val="21"/>
          <w:szCs w:val="21"/>
          <w:lang w:val="en-US" w:eastAsia="en-US"/>
        </w:rPr>
        <w:t xml:space="preserve"> the schemes</w:t>
      </w:r>
      <w:proofErr w:type="gramEnd"/>
      <w:r w:rsidRPr="00E43CC4">
        <w:rPr>
          <w:rFonts w:eastAsia="Calibri" w:cstheme="minorHAnsi"/>
          <w:color w:val="4A4A4A"/>
          <w:sz w:val="21"/>
          <w:szCs w:val="21"/>
          <w:lang w:val="en-US" w:eastAsia="en-US"/>
        </w:rPr>
        <w:t>. That allows for estimating the total certified forest area, adjusted for double</w:t>
      </w:r>
      <w:r w:rsidR="00801A18">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certified area. </w:t>
      </w:r>
    </w:p>
    <w:p w14:paraId="3018A8D8" w14:textId="77777777" w:rsidR="00EC2915" w:rsidRPr="00957524" w:rsidRDefault="00EC2915" w:rsidP="00957524">
      <w:pPr>
        <w:pStyle w:val="MText"/>
      </w:pPr>
    </w:p>
    <w:p w14:paraId="79368080" w14:textId="32CB9C2E" w:rsidR="008B0AC7" w:rsidRPr="00E43CC4" w:rsidRDefault="00576CFA" w:rsidP="00F719A8">
      <w:pPr>
        <w:pStyle w:val="MHeader2"/>
        <w:rPr>
          <w:rFonts w:cstheme="minorHAnsi"/>
        </w:rPr>
      </w:pPr>
      <w:r w:rsidRPr="00E43CC4">
        <w:rPr>
          <w:rFonts w:cstheme="minorHAnsi"/>
        </w:rPr>
        <w:t xml:space="preserve">3.b. Data collection method </w:t>
      </w:r>
      <w:r>
        <w:rPr>
          <w:color w:val="B4B4B4"/>
          <w:sz w:val="20"/>
        </w:rPr>
        <w:t>(COLL_METHOD)</w:t>
      </w:r>
    </w:p>
    <w:p w14:paraId="74AD4F95" w14:textId="77777777" w:rsidR="001F3245" w:rsidRPr="00E43CC4" w:rsidRDefault="001F3245" w:rsidP="001F3245">
      <w:pPr>
        <w:shd w:val="clear" w:color="auto" w:fill="F5F5F5"/>
        <w:spacing w:after="0"/>
        <w:outlineLvl w:val="1"/>
        <w:rPr>
          <w:rFonts w:eastAsia="Times New Roman" w:cstheme="minorHAnsi"/>
          <w:color w:val="1C75BC"/>
          <w:lang w:eastAsia="en-GB"/>
        </w:rPr>
      </w:pPr>
      <w:r w:rsidRPr="00E43CC4">
        <w:rPr>
          <w:rFonts w:eastAsia="Times New Roman" w:cstheme="minorHAnsi"/>
          <w:color w:val="1C75BC"/>
          <w:lang w:eastAsia="en-GB"/>
        </w:rPr>
        <w:t>Sub-indicators 1 to 4</w:t>
      </w:r>
    </w:p>
    <w:p w14:paraId="0851BFC9" w14:textId="488CE0C5" w:rsidR="008D1DD3" w:rsidRPr="00E43CC4" w:rsidRDefault="008D1DD3" w:rsidP="008D1DD3">
      <w:pPr>
        <w:pStyle w:val="Default"/>
        <w:spacing w:after="120" w:line="276" w:lineRule="auto"/>
        <w:rPr>
          <w:rFonts w:asciiTheme="minorHAnsi" w:hAnsiTheme="minorHAnsi" w:cstheme="minorHAnsi"/>
          <w:color w:val="4A4A4A"/>
          <w:sz w:val="21"/>
          <w:szCs w:val="21"/>
        </w:rPr>
      </w:pPr>
      <w:r w:rsidRPr="00E43CC4">
        <w:rPr>
          <w:rFonts w:asciiTheme="minorHAnsi" w:hAnsiTheme="minorHAnsi" w:cstheme="minorHAnsi"/>
          <w:color w:val="4A4A4A"/>
          <w:sz w:val="21"/>
          <w:szCs w:val="21"/>
        </w:rPr>
        <w:t>Data on the</w:t>
      </w:r>
      <w:r w:rsidR="00EF3766">
        <w:rPr>
          <w:rFonts w:asciiTheme="minorHAnsi" w:hAnsiTheme="minorHAnsi" w:cstheme="minorHAnsi"/>
          <w:color w:val="4A4A4A"/>
          <w:sz w:val="21"/>
          <w:szCs w:val="21"/>
        </w:rPr>
        <w:t>se</w:t>
      </w:r>
      <w:r w:rsidRPr="00E43CC4">
        <w:rPr>
          <w:rFonts w:asciiTheme="minorHAnsi" w:hAnsiTheme="minorHAnsi" w:cstheme="minorHAnsi"/>
          <w:color w:val="4A4A4A"/>
          <w:sz w:val="21"/>
          <w:szCs w:val="21"/>
        </w:rPr>
        <w:t xml:space="preserve"> sub-indicators are collected </w:t>
      </w:r>
      <w:r w:rsidR="00E16C64">
        <w:rPr>
          <w:rFonts w:asciiTheme="minorHAnsi" w:hAnsiTheme="minorHAnsi" w:cstheme="minorHAnsi"/>
          <w:color w:val="4A4A4A"/>
          <w:sz w:val="21"/>
          <w:szCs w:val="21"/>
        </w:rPr>
        <w:t>through</w:t>
      </w:r>
      <w:r w:rsidRPr="00E43CC4">
        <w:rPr>
          <w:rFonts w:asciiTheme="minorHAnsi" w:hAnsiTheme="minorHAnsi" w:cstheme="minorHAnsi"/>
          <w:color w:val="4A4A4A"/>
          <w:sz w:val="21"/>
          <w:szCs w:val="21"/>
        </w:rPr>
        <w:t xml:space="preserve"> FAO’s Global Forest Resources Assessment (FRA) </w:t>
      </w:r>
      <w:proofErr w:type="spellStart"/>
      <w:r w:rsidRPr="00E43CC4">
        <w:rPr>
          <w:rFonts w:asciiTheme="minorHAnsi" w:hAnsiTheme="minorHAnsi" w:cstheme="minorHAnsi"/>
          <w:color w:val="4A4A4A"/>
          <w:sz w:val="21"/>
          <w:szCs w:val="21"/>
        </w:rPr>
        <w:t>programme</w:t>
      </w:r>
      <w:proofErr w:type="spellEnd"/>
      <w:r w:rsidRPr="00E43CC4">
        <w:rPr>
          <w:rFonts w:asciiTheme="minorHAnsi" w:hAnsiTheme="minorHAnsi" w:cstheme="minorHAnsi"/>
          <w:color w:val="4A4A4A"/>
          <w:sz w:val="21"/>
          <w:szCs w:val="21"/>
        </w:rPr>
        <w:t xml:space="preserve">. </w:t>
      </w:r>
      <w:proofErr w:type="gramStart"/>
      <w:r w:rsidRPr="00E43CC4">
        <w:rPr>
          <w:rFonts w:asciiTheme="minorHAnsi" w:hAnsiTheme="minorHAnsi" w:cstheme="minorHAnsi"/>
          <w:color w:val="4A4A4A"/>
          <w:sz w:val="21"/>
          <w:szCs w:val="21"/>
        </w:rPr>
        <w:t>Officially</w:t>
      </w:r>
      <w:r w:rsidR="00A55AFB">
        <w:rPr>
          <w:rFonts w:asciiTheme="minorHAnsi" w:hAnsiTheme="minorHAnsi" w:cstheme="minorHAnsi"/>
          <w:color w:val="4A4A4A"/>
          <w:sz w:val="21"/>
          <w:szCs w:val="21"/>
        </w:rPr>
        <w:t>-</w:t>
      </w:r>
      <w:r w:rsidRPr="00E43CC4">
        <w:rPr>
          <w:rFonts w:asciiTheme="minorHAnsi" w:hAnsiTheme="minorHAnsi" w:cstheme="minorHAnsi"/>
          <w:color w:val="4A4A4A"/>
          <w:sz w:val="21"/>
          <w:szCs w:val="21"/>
        </w:rPr>
        <w:t>nominated</w:t>
      </w:r>
      <w:proofErr w:type="gramEnd"/>
      <w:r w:rsidRPr="00E43CC4">
        <w:rPr>
          <w:rFonts w:asciiTheme="minorHAnsi" w:hAnsiTheme="minorHAnsi" w:cstheme="minorHAnsi"/>
          <w:color w:val="4A4A4A"/>
          <w:sz w:val="21"/>
          <w:szCs w:val="21"/>
        </w:rPr>
        <w:t xml:space="preserve"> national correspondents and their teams prepare the country reports for the assessment. Some prepare more than one report</w:t>
      </w:r>
      <w:r w:rsidR="001B2793">
        <w:rPr>
          <w:rFonts w:asciiTheme="minorHAnsi" w:hAnsiTheme="minorHAnsi" w:cstheme="minorHAnsi"/>
          <w:color w:val="4A4A4A"/>
          <w:sz w:val="21"/>
          <w:szCs w:val="21"/>
        </w:rPr>
        <w:t>,</w:t>
      </w:r>
      <w:r w:rsidRPr="00E43CC4">
        <w:rPr>
          <w:rFonts w:asciiTheme="minorHAnsi" w:hAnsiTheme="minorHAnsi" w:cstheme="minorHAnsi"/>
          <w:color w:val="4A4A4A"/>
          <w:sz w:val="21"/>
          <w:szCs w:val="21"/>
        </w:rPr>
        <w:t xml:space="preserve"> as they also report on dependent territories. For th</w:t>
      </w:r>
      <w:r w:rsidR="001B2793">
        <w:rPr>
          <w:rFonts w:asciiTheme="minorHAnsi" w:hAnsiTheme="minorHAnsi" w:cstheme="minorHAnsi"/>
          <w:color w:val="4A4A4A"/>
          <w:sz w:val="21"/>
          <w:szCs w:val="21"/>
        </w:rPr>
        <w:t>ose</w:t>
      </w:r>
      <w:r w:rsidRPr="00E43CC4">
        <w:rPr>
          <w:rFonts w:asciiTheme="minorHAnsi" w:hAnsiTheme="minorHAnsi" w:cstheme="minorHAnsi"/>
          <w:color w:val="4A4A4A"/>
          <w:sz w:val="21"/>
          <w:szCs w:val="21"/>
        </w:rPr>
        <w:t xml:space="preserve"> remaining countries and territories where no information is provided, a report is prepared by FAO using existing information and a literature search. </w:t>
      </w:r>
    </w:p>
    <w:p w14:paraId="4337478E" w14:textId="5F97BFA1"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All data are provided to FAO by countries in the form of a country report through an </w:t>
      </w:r>
      <w:r w:rsidRPr="00052FD6">
        <w:rPr>
          <w:rFonts w:eastAsia="Calibri" w:cstheme="minorHAnsi"/>
          <w:color w:val="4A4A4A"/>
          <w:sz w:val="21"/>
          <w:szCs w:val="21"/>
          <w:lang w:val="en-US" w:eastAsia="en-US"/>
        </w:rPr>
        <w:t>online</w:t>
      </w:r>
      <w:r w:rsidRPr="00E43CC4">
        <w:rPr>
          <w:rFonts w:eastAsia="Calibri" w:cstheme="minorHAnsi"/>
          <w:color w:val="4A4A4A"/>
          <w:sz w:val="21"/>
          <w:szCs w:val="21"/>
          <w:lang w:val="en-US" w:eastAsia="en-US"/>
        </w:rPr>
        <w:t xml:space="preserve"> platform</w:t>
      </w:r>
      <w:r w:rsidR="00A2072E">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following a standard format </w:t>
      </w:r>
      <w:r w:rsidR="00A2072E">
        <w:rPr>
          <w:rFonts w:eastAsia="Calibri" w:cstheme="minorHAnsi"/>
          <w:color w:val="4A4A4A"/>
          <w:sz w:val="21"/>
          <w:szCs w:val="21"/>
          <w:lang w:val="en-US" w:eastAsia="en-US"/>
        </w:rPr>
        <w:t>that</w:t>
      </w:r>
      <w:r w:rsidRPr="00E43CC4">
        <w:rPr>
          <w:rFonts w:eastAsia="Calibri" w:cstheme="minorHAnsi"/>
          <w:color w:val="4A4A4A"/>
          <w:sz w:val="21"/>
          <w:szCs w:val="21"/>
          <w:lang w:val="en-US" w:eastAsia="en-US"/>
        </w:rPr>
        <w:t xml:space="preserve"> includes the original data and reference sources and descriptions of how these have been used to estimate the forest area for different points in time. The </w:t>
      </w:r>
      <w:r w:rsidRPr="00052FD6">
        <w:rPr>
          <w:rFonts w:eastAsia="Calibri" w:cstheme="minorHAnsi"/>
          <w:color w:val="4A4A4A"/>
          <w:sz w:val="21"/>
          <w:szCs w:val="21"/>
          <w:lang w:val="en-US" w:eastAsia="en-US"/>
        </w:rPr>
        <w:t>online</w:t>
      </w:r>
      <w:r w:rsidRPr="00E43CC4">
        <w:rPr>
          <w:rFonts w:eastAsia="Calibri" w:cstheme="minorHAnsi"/>
          <w:color w:val="4A4A4A"/>
          <w:sz w:val="21"/>
          <w:szCs w:val="21"/>
          <w:lang w:val="en-US" w:eastAsia="en-US"/>
        </w:rPr>
        <w:t xml:space="preserve"> platform was used for all data entry, review and quality control.</w:t>
      </w:r>
    </w:p>
    <w:p w14:paraId="3AC0DBA4" w14:textId="2E1CF0B6" w:rsidR="008D1DD3" w:rsidRPr="00E43CC4" w:rsidRDefault="00A2072E" w:rsidP="008D1DD3">
      <w:pPr>
        <w:autoSpaceDE w:val="0"/>
        <w:autoSpaceDN w:val="0"/>
        <w:adjustRightInd w:val="0"/>
        <w:spacing w:after="120"/>
        <w:rPr>
          <w:rFonts w:eastAsia="Calibri" w:cstheme="minorHAnsi"/>
          <w:color w:val="4A4A4A"/>
          <w:sz w:val="21"/>
          <w:szCs w:val="21"/>
          <w:lang w:val="en-US" w:eastAsia="en-US"/>
        </w:rPr>
      </w:pPr>
      <w:r>
        <w:rPr>
          <w:rFonts w:eastAsia="Calibri" w:cstheme="minorHAnsi"/>
          <w:color w:val="4A4A4A"/>
          <w:sz w:val="21"/>
          <w:szCs w:val="21"/>
          <w:lang w:val="en-US" w:eastAsia="en-US"/>
        </w:rPr>
        <w:t>T</w:t>
      </w:r>
      <w:r w:rsidR="008D1DD3" w:rsidRPr="00E43CC4">
        <w:rPr>
          <w:rFonts w:eastAsia="Calibri" w:cstheme="minorHAnsi"/>
          <w:color w:val="4A4A4A"/>
          <w:sz w:val="21"/>
          <w:szCs w:val="21"/>
          <w:lang w:val="en-US" w:eastAsia="en-US"/>
        </w:rPr>
        <w:t>o obtain internationally comparable data, countries are requested to provide national categories and definitions</w:t>
      </w:r>
      <w:r w:rsidR="009D6663">
        <w:rPr>
          <w:rFonts w:eastAsia="Calibri" w:cstheme="minorHAnsi"/>
          <w:color w:val="4A4A4A"/>
          <w:sz w:val="21"/>
          <w:szCs w:val="21"/>
          <w:lang w:val="en-US" w:eastAsia="en-US"/>
        </w:rPr>
        <w:t>.</w:t>
      </w:r>
      <w:r w:rsidR="008D1DD3" w:rsidRPr="00E43CC4">
        <w:rPr>
          <w:rFonts w:eastAsia="Calibri" w:cstheme="minorHAnsi"/>
          <w:color w:val="4A4A4A"/>
          <w:sz w:val="21"/>
          <w:szCs w:val="21"/>
          <w:lang w:val="en-US" w:eastAsia="en-US"/>
        </w:rPr>
        <w:t xml:space="preserve"> </w:t>
      </w:r>
      <w:r w:rsidR="009D6663">
        <w:rPr>
          <w:rFonts w:eastAsia="Calibri" w:cstheme="minorHAnsi"/>
          <w:color w:val="4A4A4A"/>
          <w:sz w:val="21"/>
          <w:szCs w:val="21"/>
          <w:lang w:val="en-US" w:eastAsia="en-US"/>
        </w:rPr>
        <w:t>I</w:t>
      </w:r>
      <w:r w:rsidR="008D1DD3" w:rsidRPr="00E43CC4">
        <w:rPr>
          <w:rFonts w:eastAsia="Calibri" w:cstheme="minorHAnsi"/>
          <w:color w:val="4A4A4A"/>
          <w:sz w:val="21"/>
          <w:szCs w:val="21"/>
          <w:lang w:val="en-US" w:eastAsia="en-US"/>
        </w:rPr>
        <w:t>n case</w:t>
      </w:r>
      <w:r w:rsidR="009D6663">
        <w:rPr>
          <w:rFonts w:eastAsia="Calibri" w:cstheme="minorHAnsi"/>
          <w:color w:val="4A4A4A"/>
          <w:sz w:val="21"/>
          <w:szCs w:val="21"/>
          <w:lang w:val="en-US" w:eastAsia="en-US"/>
        </w:rPr>
        <w:t>s where</w:t>
      </w:r>
      <w:r w:rsidR="008D1DD3" w:rsidRPr="00E43CC4">
        <w:rPr>
          <w:rFonts w:eastAsia="Calibri" w:cstheme="minorHAnsi"/>
          <w:color w:val="4A4A4A"/>
          <w:sz w:val="21"/>
          <w:szCs w:val="21"/>
          <w:lang w:val="en-US" w:eastAsia="en-US"/>
        </w:rPr>
        <w:t xml:space="preserve"> these </w:t>
      </w:r>
      <w:r w:rsidR="009D6663">
        <w:rPr>
          <w:rFonts w:eastAsia="Calibri" w:cstheme="minorHAnsi"/>
          <w:color w:val="4A4A4A"/>
          <w:sz w:val="21"/>
          <w:szCs w:val="21"/>
          <w:lang w:val="en-US" w:eastAsia="en-US"/>
        </w:rPr>
        <w:t>differ from</w:t>
      </w:r>
      <w:r w:rsidR="008D1DD3" w:rsidRPr="00E43CC4">
        <w:rPr>
          <w:rFonts w:eastAsia="Calibri" w:cstheme="minorHAnsi"/>
          <w:color w:val="4A4A4A"/>
          <w:sz w:val="21"/>
          <w:szCs w:val="21"/>
          <w:lang w:val="en-US" w:eastAsia="en-US"/>
        </w:rPr>
        <w:t xml:space="preserve"> the FAO categories and definitions, countries are requested to perform a reclassification of national data to correspond to the FAO categories and definitions and to document this step in the country report. Countries are also requested to use interpolation or extrapolation of national data</w:t>
      </w:r>
      <w:r w:rsidR="007D59F2">
        <w:rPr>
          <w:rFonts w:eastAsia="Calibri" w:cstheme="minorHAnsi"/>
          <w:color w:val="4A4A4A"/>
          <w:sz w:val="21"/>
          <w:szCs w:val="21"/>
          <w:lang w:val="en-US" w:eastAsia="en-US"/>
        </w:rPr>
        <w:t>,</w:t>
      </w:r>
      <w:r w:rsidR="008D1DD3" w:rsidRPr="00E43CC4">
        <w:rPr>
          <w:rFonts w:eastAsia="Calibri" w:cstheme="minorHAnsi"/>
          <w:color w:val="4A4A4A"/>
          <w:sz w:val="21"/>
          <w:szCs w:val="21"/>
          <w:lang w:val="en-US" w:eastAsia="en-US"/>
        </w:rPr>
        <w:t xml:space="preserve"> to provide estimates for </w:t>
      </w:r>
      <w:proofErr w:type="gramStart"/>
      <w:r w:rsidR="008D1DD3" w:rsidRPr="00E43CC4">
        <w:rPr>
          <w:rFonts w:eastAsia="Calibri" w:cstheme="minorHAnsi"/>
          <w:color w:val="4A4A4A"/>
          <w:sz w:val="21"/>
          <w:szCs w:val="21"/>
          <w:lang w:val="en-US" w:eastAsia="en-US"/>
        </w:rPr>
        <w:t>the specific</w:t>
      </w:r>
      <w:proofErr w:type="gramEnd"/>
      <w:r w:rsidR="008D1DD3" w:rsidRPr="00E43CC4">
        <w:rPr>
          <w:rFonts w:eastAsia="Calibri" w:cstheme="minorHAnsi"/>
          <w:color w:val="4A4A4A"/>
          <w:sz w:val="21"/>
          <w:szCs w:val="21"/>
          <w:lang w:val="en-US" w:eastAsia="en-US"/>
        </w:rPr>
        <w:t xml:space="preserve"> reporting years. </w:t>
      </w:r>
    </w:p>
    <w:p w14:paraId="13B7003E" w14:textId="77777777" w:rsidR="008D1DD3" w:rsidRPr="00BA33F7" w:rsidRDefault="008D1DD3" w:rsidP="004E2B2C">
      <w:pPr>
        <w:shd w:val="clear" w:color="auto" w:fill="FFFFFF"/>
        <w:spacing w:after="0"/>
        <w:contextualSpacing/>
        <w:rPr>
          <w:rFonts w:ascii="Calibri" w:eastAsia="Times New Roman" w:hAnsi="Calibri" w:cs="Times New Roman"/>
          <w:color w:val="4A4A4A"/>
          <w:sz w:val="21"/>
          <w:szCs w:val="21"/>
          <w:lang w:val="en-US" w:eastAsia="en-GB"/>
        </w:rPr>
      </w:pPr>
    </w:p>
    <w:p w14:paraId="6E90FFF2" w14:textId="77777777" w:rsidR="008D1DD3" w:rsidRPr="00E43CC4" w:rsidRDefault="008D1DD3" w:rsidP="008D1DD3">
      <w:pPr>
        <w:shd w:val="clear" w:color="auto" w:fill="F5F5F5"/>
        <w:spacing w:after="0"/>
        <w:outlineLvl w:val="1"/>
        <w:rPr>
          <w:rFonts w:eastAsia="Times New Roman" w:cstheme="minorHAnsi"/>
          <w:color w:val="1C75BC"/>
          <w:lang w:eastAsia="en-GB"/>
        </w:rPr>
      </w:pPr>
      <w:r w:rsidRPr="00E43CC4">
        <w:rPr>
          <w:rFonts w:eastAsia="Times New Roman" w:cstheme="minorHAnsi"/>
          <w:color w:val="1C75BC"/>
          <w:lang w:eastAsia="en-GB"/>
        </w:rPr>
        <w:t>Sub-indicator 5</w:t>
      </w:r>
    </w:p>
    <w:p w14:paraId="56ADF668" w14:textId="19CF7A66" w:rsidR="008D1DD3" w:rsidRPr="00E43CC4" w:rsidRDefault="008D1DD3" w:rsidP="000E2992">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Data </w:t>
      </w:r>
      <w:r w:rsidR="00B841C6">
        <w:rPr>
          <w:rFonts w:eastAsia="Calibri" w:cstheme="minorHAnsi"/>
          <w:color w:val="4A4A4A"/>
          <w:sz w:val="21"/>
          <w:szCs w:val="21"/>
          <w:lang w:val="en-US" w:eastAsia="en-US"/>
        </w:rPr>
        <w:t xml:space="preserve">are annually </w:t>
      </w:r>
      <w:r w:rsidRPr="00E43CC4">
        <w:rPr>
          <w:rFonts w:eastAsia="Calibri" w:cstheme="minorHAnsi"/>
          <w:color w:val="4A4A4A"/>
          <w:sz w:val="21"/>
          <w:szCs w:val="21"/>
          <w:lang w:val="en-US" w:eastAsia="en-US"/>
        </w:rPr>
        <w:t xml:space="preserve">reported by the certification bodies </w:t>
      </w:r>
      <w:r w:rsidR="00B841C6">
        <w:rPr>
          <w:rFonts w:eastAsia="Calibri" w:cstheme="minorHAnsi"/>
          <w:color w:val="4A4A4A"/>
          <w:sz w:val="21"/>
          <w:szCs w:val="21"/>
          <w:lang w:val="en-US" w:eastAsia="en-US"/>
        </w:rPr>
        <w:t xml:space="preserve">to FAO </w:t>
      </w:r>
      <w:r w:rsidRPr="00E43CC4">
        <w:rPr>
          <w:rFonts w:eastAsia="Calibri" w:cstheme="minorHAnsi"/>
          <w:color w:val="4A4A4A"/>
          <w:sz w:val="21"/>
          <w:szCs w:val="21"/>
          <w:lang w:val="en-US" w:eastAsia="en-US"/>
        </w:rPr>
        <w:t>and consolidated into estimates of total certified forest area</w:t>
      </w:r>
      <w:r w:rsidR="00B841C6">
        <w:rPr>
          <w:rFonts w:eastAsia="Calibri" w:cstheme="minorHAnsi"/>
          <w:color w:val="4A4A4A"/>
          <w:sz w:val="21"/>
          <w:szCs w:val="21"/>
          <w:lang w:val="en-US" w:eastAsia="en-US"/>
        </w:rPr>
        <w:t>, which</w:t>
      </w:r>
      <w:r w:rsidRPr="00E43CC4">
        <w:rPr>
          <w:rFonts w:eastAsia="Calibri" w:cstheme="minorHAnsi"/>
          <w:color w:val="4A4A4A"/>
          <w:sz w:val="21"/>
          <w:szCs w:val="21"/>
          <w:lang w:val="en-US" w:eastAsia="en-US"/>
        </w:rPr>
        <w:t xml:space="preserve"> are made available to the countries through </w:t>
      </w:r>
      <w:r w:rsidR="00B841C6">
        <w:rPr>
          <w:rFonts w:eastAsia="Calibri" w:cstheme="minorHAnsi"/>
          <w:color w:val="4A4A4A"/>
          <w:sz w:val="21"/>
          <w:szCs w:val="21"/>
          <w:lang w:val="en-US" w:eastAsia="en-US"/>
        </w:rPr>
        <w:t>the FRA</w:t>
      </w:r>
      <w:r w:rsidR="00B841C6"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online platform where country officials can view the data that are being submitted. </w:t>
      </w:r>
    </w:p>
    <w:p w14:paraId="7D9F065F" w14:textId="33A288F9" w:rsidR="00EC2915" w:rsidRPr="00BA33F7" w:rsidRDefault="00EC2915" w:rsidP="00557826">
      <w:pPr>
        <w:shd w:val="clear" w:color="auto" w:fill="FFFFFF"/>
        <w:spacing w:after="0"/>
        <w:contextualSpacing/>
        <w:rPr>
          <w:rFonts w:ascii="Calibri" w:eastAsia="Times New Roman" w:hAnsi="Calibri" w:cs="Times New Roman"/>
          <w:color w:val="4A4A4A"/>
          <w:sz w:val="21"/>
          <w:szCs w:val="21"/>
          <w:lang w:val="en-US" w:eastAsia="en-GB"/>
        </w:rPr>
      </w:pPr>
    </w:p>
    <w:p w14:paraId="170A2C05" w14:textId="34873ECA" w:rsidR="00E46D96" w:rsidRPr="00E43CC4" w:rsidRDefault="00E46D96" w:rsidP="00D3344D">
      <w:pPr>
        <w:pStyle w:val="MHeader2"/>
        <w:keepNext/>
        <w:rPr>
          <w:rFonts w:cstheme="minorHAnsi"/>
        </w:rPr>
      </w:pPr>
      <w:r w:rsidRPr="00E43CC4">
        <w:rPr>
          <w:rFonts w:cstheme="minorHAnsi"/>
        </w:rPr>
        <w:lastRenderedPageBreak/>
        <w:t xml:space="preserve">3.c. Data collection calendar </w:t>
      </w:r>
      <w:r>
        <w:rPr>
          <w:color w:val="B4B4B4"/>
          <w:sz w:val="20"/>
        </w:rPr>
        <w:t>(FREQ_COLL)</w:t>
      </w:r>
    </w:p>
    <w:p w14:paraId="7D9CC3BB" w14:textId="1F2FD37D" w:rsidR="00B841C6" w:rsidRPr="00957524" w:rsidRDefault="008D1DD3" w:rsidP="00957524">
      <w:pPr>
        <w:keepNext/>
        <w:keepLines/>
        <w:shd w:val="clear" w:color="auto" w:fill="FFFFFF"/>
        <w:spacing w:after="0"/>
        <w:contextualSpacing/>
        <w:rPr>
          <w:rFonts w:ascii="Calibri" w:hAnsi="Calibri"/>
          <w:color w:val="4A4A4A"/>
          <w:sz w:val="21"/>
          <w:lang w:val="en-US"/>
        </w:rPr>
      </w:pPr>
      <w:r w:rsidRPr="00E43CC4">
        <w:rPr>
          <w:rFonts w:eastAsia="Calibri" w:cstheme="minorHAnsi"/>
          <w:color w:val="4A4A4A"/>
          <w:sz w:val="21"/>
          <w:szCs w:val="21"/>
          <w:lang w:val="en-US" w:eastAsia="en-US"/>
        </w:rPr>
        <w:t>Source data collection</w:t>
      </w:r>
      <w:r w:rsidR="00B841C6">
        <w:rPr>
          <w:rFonts w:eastAsia="Calibri" w:cstheme="minorHAnsi"/>
          <w:color w:val="4A4A4A"/>
          <w:sz w:val="21"/>
          <w:szCs w:val="21"/>
          <w:lang w:val="en-US" w:eastAsia="en-US"/>
        </w:rPr>
        <w:t xml:space="preserve"> for sub-indicators 1 to </w:t>
      </w:r>
      <w:r w:rsidR="00E16C64">
        <w:rPr>
          <w:rFonts w:eastAsia="Calibri" w:cstheme="minorHAnsi"/>
          <w:color w:val="4A4A4A"/>
          <w:sz w:val="21"/>
          <w:szCs w:val="21"/>
          <w:lang w:val="en-US" w:eastAsia="en-US"/>
        </w:rPr>
        <w:t xml:space="preserve">4 </w:t>
      </w:r>
      <w:r w:rsidR="009A0E98">
        <w:rPr>
          <w:rFonts w:eastAsia="Calibri" w:cstheme="minorHAnsi"/>
          <w:color w:val="4A4A4A"/>
          <w:sz w:val="21"/>
          <w:szCs w:val="21"/>
          <w:lang w:val="en-US" w:eastAsia="en-US"/>
        </w:rPr>
        <w:t xml:space="preserve">for </w:t>
      </w:r>
      <w:r w:rsidR="00A65E27">
        <w:rPr>
          <w:rFonts w:eastAsia="Calibri" w:cstheme="minorHAnsi"/>
          <w:color w:val="4A4A4A"/>
          <w:sz w:val="21"/>
          <w:szCs w:val="21"/>
          <w:lang w:val="en-US" w:eastAsia="en-US"/>
        </w:rPr>
        <w:t xml:space="preserve">FRA 2025 </w:t>
      </w:r>
      <w:r w:rsidR="00E16C64" w:rsidRPr="00E43CC4">
        <w:rPr>
          <w:rFonts w:eastAsia="Calibri" w:cstheme="minorHAnsi"/>
          <w:color w:val="4A4A4A"/>
          <w:sz w:val="21"/>
          <w:szCs w:val="21"/>
          <w:lang w:val="en-US" w:eastAsia="en-US"/>
        </w:rPr>
        <w:t>was</w:t>
      </w:r>
      <w:r w:rsidRPr="00E43CC4">
        <w:rPr>
          <w:rFonts w:eastAsia="Calibri" w:cstheme="minorHAnsi"/>
          <w:color w:val="4A4A4A"/>
          <w:sz w:val="21"/>
          <w:szCs w:val="21"/>
          <w:lang w:val="en-US" w:eastAsia="en-US"/>
        </w:rPr>
        <w:t xml:space="preserve"> initiated in </w:t>
      </w:r>
      <w:r w:rsidR="00A65E27">
        <w:rPr>
          <w:rFonts w:eastAsia="Calibri" w:cstheme="minorHAnsi"/>
          <w:color w:val="4A4A4A"/>
          <w:sz w:val="21"/>
          <w:szCs w:val="21"/>
          <w:lang w:val="en-US" w:eastAsia="en-US"/>
        </w:rPr>
        <w:t>2023</w:t>
      </w:r>
      <w:r w:rsidR="00A65E27"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and concluded in </w:t>
      </w:r>
      <w:r w:rsidR="00A65E27">
        <w:rPr>
          <w:rFonts w:eastAsia="Calibri" w:cstheme="minorHAnsi"/>
          <w:color w:val="4A4A4A"/>
          <w:sz w:val="21"/>
          <w:szCs w:val="21"/>
          <w:lang w:val="en-US" w:eastAsia="en-US"/>
        </w:rPr>
        <w:t>2024</w:t>
      </w:r>
      <w:r w:rsidRPr="00E43CC4">
        <w:rPr>
          <w:rFonts w:eastAsia="Calibri" w:cstheme="minorHAnsi"/>
          <w:color w:val="4A4A4A"/>
          <w:sz w:val="21"/>
          <w:szCs w:val="21"/>
          <w:lang w:val="en-US" w:eastAsia="en-US"/>
        </w:rPr>
        <w:t xml:space="preserve">. </w:t>
      </w:r>
      <w:r w:rsidR="00203BAE" w:rsidRPr="00203BAE">
        <w:rPr>
          <w:rFonts w:eastAsia="Calibri" w:cstheme="minorHAnsi"/>
          <w:color w:val="4A4A4A"/>
          <w:sz w:val="21"/>
          <w:szCs w:val="21"/>
          <w:lang w:val="en-US" w:eastAsia="en-US"/>
        </w:rPr>
        <w:t xml:space="preserve">Since 2025, countries </w:t>
      </w:r>
      <w:r w:rsidR="00BC24C4">
        <w:rPr>
          <w:rFonts w:eastAsia="Calibri" w:cstheme="minorHAnsi"/>
          <w:color w:val="4A4A4A"/>
          <w:sz w:val="21"/>
          <w:szCs w:val="21"/>
          <w:lang w:val="en-US" w:eastAsia="en-US"/>
        </w:rPr>
        <w:t xml:space="preserve">have the possibility to </w:t>
      </w:r>
      <w:r w:rsidR="00203BAE" w:rsidRPr="00203BAE">
        <w:rPr>
          <w:rFonts w:eastAsia="Calibri" w:cstheme="minorHAnsi"/>
          <w:color w:val="4A4A4A"/>
          <w:sz w:val="21"/>
          <w:szCs w:val="21"/>
          <w:lang w:val="en-US" w:eastAsia="en-US"/>
        </w:rPr>
        <w:t>update their national reports</w:t>
      </w:r>
      <w:r w:rsidR="0027690C">
        <w:rPr>
          <w:rFonts w:eastAsia="Calibri" w:cstheme="minorHAnsi"/>
          <w:color w:val="4A4A4A"/>
          <w:sz w:val="21"/>
          <w:szCs w:val="21"/>
          <w:lang w:val="en-US" w:eastAsia="en-US"/>
        </w:rPr>
        <w:t>,</w:t>
      </w:r>
      <w:r w:rsidR="00203BAE" w:rsidRPr="00203BAE">
        <w:rPr>
          <w:rFonts w:eastAsia="Calibri" w:cstheme="minorHAnsi"/>
          <w:color w:val="4A4A4A"/>
          <w:sz w:val="21"/>
          <w:szCs w:val="21"/>
          <w:lang w:val="en-US" w:eastAsia="en-US"/>
        </w:rPr>
        <w:t xml:space="preserve"> </w:t>
      </w:r>
      <w:r w:rsidR="00746A67">
        <w:rPr>
          <w:rFonts w:eastAsia="Calibri" w:cstheme="minorHAnsi"/>
          <w:color w:val="4A4A4A"/>
          <w:sz w:val="21"/>
          <w:szCs w:val="21"/>
          <w:lang w:val="en-US" w:eastAsia="en-US"/>
        </w:rPr>
        <w:t>on a voluntary basis</w:t>
      </w:r>
      <w:r w:rsidR="0027690C">
        <w:rPr>
          <w:rFonts w:eastAsia="Calibri" w:cstheme="minorHAnsi"/>
          <w:color w:val="4A4A4A"/>
          <w:sz w:val="21"/>
          <w:szCs w:val="21"/>
          <w:lang w:val="en-US" w:eastAsia="en-US"/>
        </w:rPr>
        <w:t>,</w:t>
      </w:r>
      <w:r w:rsidR="00746A67">
        <w:rPr>
          <w:rFonts w:eastAsia="Calibri" w:cstheme="minorHAnsi"/>
          <w:color w:val="4A4A4A"/>
          <w:sz w:val="21"/>
          <w:szCs w:val="21"/>
          <w:lang w:val="en-US" w:eastAsia="en-US"/>
        </w:rPr>
        <w:t xml:space="preserve"> </w:t>
      </w:r>
      <w:r w:rsidR="00203BAE" w:rsidRPr="00203BAE">
        <w:rPr>
          <w:rFonts w:eastAsia="Calibri" w:cstheme="minorHAnsi"/>
          <w:color w:val="4A4A4A"/>
          <w:sz w:val="21"/>
          <w:szCs w:val="21"/>
          <w:lang w:val="en-US" w:eastAsia="en-US"/>
        </w:rPr>
        <w:t>at any time of the year.</w:t>
      </w:r>
      <w:r w:rsidR="00CD0FCA">
        <w:rPr>
          <w:rFonts w:eastAsia="Calibri" w:cstheme="minorHAnsi"/>
          <w:color w:val="4A4A4A"/>
          <w:sz w:val="21"/>
          <w:szCs w:val="21"/>
          <w:lang w:val="en-US" w:eastAsia="en-US"/>
        </w:rPr>
        <w:t xml:space="preserve"> </w:t>
      </w:r>
      <w:r w:rsidR="00B841C6">
        <w:rPr>
          <w:rFonts w:ascii="Calibri" w:eastAsia="Times New Roman" w:hAnsi="Calibri" w:cs="Times New Roman"/>
          <w:color w:val="4A4A4A"/>
          <w:sz w:val="21"/>
          <w:szCs w:val="21"/>
          <w:lang w:val="en-US" w:eastAsia="en-GB"/>
        </w:rPr>
        <w:t>Data collection for the next FRA</w:t>
      </w:r>
      <w:r w:rsidR="00CD0FCA">
        <w:rPr>
          <w:rFonts w:ascii="Calibri" w:eastAsia="Times New Roman" w:hAnsi="Calibri" w:cs="Times New Roman"/>
          <w:color w:val="4A4A4A"/>
          <w:sz w:val="21"/>
          <w:szCs w:val="21"/>
          <w:lang w:val="en-US" w:eastAsia="en-GB"/>
        </w:rPr>
        <w:t xml:space="preserve"> cycle</w:t>
      </w:r>
      <w:r w:rsidR="00B841C6">
        <w:rPr>
          <w:rFonts w:ascii="Calibri" w:eastAsia="Times New Roman" w:hAnsi="Calibri" w:cs="Times New Roman"/>
          <w:color w:val="4A4A4A"/>
          <w:sz w:val="21"/>
          <w:szCs w:val="21"/>
          <w:lang w:val="en-US" w:eastAsia="en-GB"/>
        </w:rPr>
        <w:t xml:space="preserve"> is expected to start in </w:t>
      </w:r>
      <w:r w:rsidR="00025B70">
        <w:rPr>
          <w:rFonts w:ascii="Calibri" w:eastAsia="Times New Roman" w:hAnsi="Calibri" w:cs="Times New Roman"/>
          <w:color w:val="4A4A4A"/>
          <w:sz w:val="21"/>
          <w:szCs w:val="21"/>
          <w:lang w:val="en-US" w:eastAsia="en-GB"/>
        </w:rPr>
        <w:t>2028</w:t>
      </w:r>
      <w:r w:rsidR="00B841C6">
        <w:rPr>
          <w:rFonts w:ascii="Calibri" w:eastAsia="Times New Roman" w:hAnsi="Calibri" w:cs="Times New Roman"/>
          <w:color w:val="4A4A4A"/>
          <w:sz w:val="21"/>
          <w:szCs w:val="21"/>
          <w:lang w:val="en-US" w:eastAsia="en-GB"/>
        </w:rPr>
        <w:t xml:space="preserve">. </w:t>
      </w:r>
      <w:r w:rsidR="00B841C6" w:rsidRPr="00957524">
        <w:rPr>
          <w:rFonts w:ascii="Calibri" w:hAnsi="Calibri"/>
          <w:color w:val="4A4A4A"/>
          <w:sz w:val="21"/>
          <w:lang w:val="en-US"/>
        </w:rPr>
        <w:t xml:space="preserve"> </w:t>
      </w:r>
    </w:p>
    <w:p w14:paraId="000A72FE" w14:textId="0D5A485E" w:rsidR="00B841C6" w:rsidRPr="00BD2836" w:rsidRDefault="00B841C6" w:rsidP="00B841C6">
      <w:pPr>
        <w:keepNext/>
        <w:keepLines/>
        <w:shd w:val="clear" w:color="auto" w:fill="FFFFFF"/>
        <w:spacing w:after="0"/>
        <w:contextualSpacing/>
        <w:rPr>
          <w:rFonts w:ascii="Calibri" w:eastAsia="Times New Roman" w:hAnsi="Calibri" w:cs="Times New Roman"/>
          <w:color w:val="4A4A4A"/>
          <w:sz w:val="21"/>
          <w:szCs w:val="21"/>
          <w:lang w:val="en-US" w:eastAsia="en-GB"/>
        </w:rPr>
      </w:pPr>
      <w:r>
        <w:rPr>
          <w:rFonts w:ascii="Calibri" w:eastAsia="Times New Roman" w:hAnsi="Calibri" w:cs="Times New Roman"/>
          <w:color w:val="4A4A4A"/>
          <w:sz w:val="21"/>
          <w:szCs w:val="21"/>
          <w:lang w:val="en-US" w:eastAsia="en-GB"/>
        </w:rPr>
        <w:t xml:space="preserve">Data on sub-indicator 5 is reported by the certification bodies to FAO by the end of each calendar year, referring to the status of certified forest area by end of June that year. </w:t>
      </w:r>
    </w:p>
    <w:p w14:paraId="01BA862E" w14:textId="79F73F30" w:rsidR="00EC2915" w:rsidRPr="00E43CC4" w:rsidRDefault="00EC2915" w:rsidP="00576CFA">
      <w:pPr>
        <w:pStyle w:val="MText"/>
        <w:rPr>
          <w:rFonts w:cstheme="minorHAnsi"/>
        </w:rPr>
      </w:pPr>
    </w:p>
    <w:p w14:paraId="7D466604" w14:textId="674844F0" w:rsidR="00E46D96" w:rsidRPr="00E43CC4" w:rsidRDefault="00E46D96" w:rsidP="00F719A8">
      <w:pPr>
        <w:pStyle w:val="MHeader2"/>
        <w:rPr>
          <w:rFonts w:cstheme="minorHAnsi"/>
        </w:rPr>
      </w:pPr>
      <w:r w:rsidRPr="00E43CC4">
        <w:rPr>
          <w:rFonts w:cstheme="minorHAnsi"/>
        </w:rPr>
        <w:t xml:space="preserve">3.d. Data release calendar </w:t>
      </w:r>
      <w:r>
        <w:rPr>
          <w:color w:val="B4B4B4"/>
          <w:sz w:val="20"/>
        </w:rPr>
        <w:t>(REL_CAL_POLICY)</w:t>
      </w:r>
    </w:p>
    <w:p w14:paraId="13D9A0DF" w14:textId="47619EE9" w:rsidR="00BE233F" w:rsidRDefault="00B75393" w:rsidP="00957524">
      <w:pPr>
        <w:shd w:val="clear" w:color="auto" w:fill="FFFFFF"/>
        <w:spacing w:after="0"/>
        <w:contextualSpacing/>
        <w:rPr>
          <w:rFonts w:eastAsia="Times New Roman" w:cstheme="minorHAnsi"/>
          <w:color w:val="4A4A4A"/>
          <w:sz w:val="21"/>
          <w:szCs w:val="21"/>
          <w:lang w:val="en-US" w:eastAsia="en-GB"/>
        </w:rPr>
      </w:pPr>
      <w:r>
        <w:rPr>
          <w:rFonts w:eastAsia="Times New Roman" w:cstheme="minorHAnsi"/>
          <w:color w:val="4A4A4A"/>
          <w:sz w:val="21"/>
          <w:szCs w:val="21"/>
          <w:lang w:val="en-US" w:eastAsia="en-GB"/>
        </w:rPr>
        <w:t xml:space="preserve">The complete </w:t>
      </w:r>
      <w:r w:rsidR="00831ED4">
        <w:rPr>
          <w:rFonts w:eastAsia="Times New Roman" w:cstheme="minorHAnsi"/>
          <w:color w:val="4A4A4A"/>
          <w:sz w:val="21"/>
          <w:szCs w:val="21"/>
          <w:lang w:val="en-US" w:eastAsia="en-GB"/>
        </w:rPr>
        <w:t>d</w:t>
      </w:r>
      <w:r w:rsidR="00831ED4" w:rsidRPr="00E43CC4">
        <w:rPr>
          <w:rFonts w:eastAsia="Times New Roman" w:cstheme="minorHAnsi"/>
          <w:color w:val="4A4A4A"/>
          <w:sz w:val="21"/>
          <w:szCs w:val="21"/>
          <w:lang w:val="en-US" w:eastAsia="en-GB"/>
        </w:rPr>
        <w:t>ata</w:t>
      </w:r>
      <w:r w:rsidR="00831ED4">
        <w:rPr>
          <w:rFonts w:eastAsia="Times New Roman" w:cstheme="minorHAnsi"/>
          <w:color w:val="4A4A4A"/>
          <w:sz w:val="21"/>
          <w:szCs w:val="21"/>
          <w:lang w:val="en-US" w:eastAsia="en-GB"/>
        </w:rPr>
        <w:t xml:space="preserve">set, featuring </w:t>
      </w:r>
      <w:r w:rsidR="008D1DD3" w:rsidRPr="00E43CC4">
        <w:rPr>
          <w:rFonts w:eastAsia="Times New Roman" w:cstheme="minorHAnsi"/>
          <w:color w:val="4A4A4A"/>
          <w:sz w:val="21"/>
          <w:szCs w:val="21"/>
          <w:lang w:val="en-US" w:eastAsia="en-GB"/>
        </w:rPr>
        <w:t xml:space="preserve">updated time series and </w:t>
      </w:r>
      <w:r w:rsidR="00831ED4">
        <w:rPr>
          <w:rFonts w:eastAsia="Times New Roman" w:cstheme="minorHAnsi"/>
          <w:color w:val="4A4A4A"/>
          <w:sz w:val="21"/>
          <w:szCs w:val="21"/>
          <w:lang w:val="en-US" w:eastAsia="en-GB"/>
        </w:rPr>
        <w:t xml:space="preserve">data </w:t>
      </w:r>
      <w:r w:rsidR="00873277">
        <w:rPr>
          <w:rFonts w:eastAsia="Times New Roman" w:cstheme="minorHAnsi"/>
          <w:color w:val="4A4A4A"/>
          <w:sz w:val="21"/>
          <w:szCs w:val="21"/>
          <w:lang w:val="en-US" w:eastAsia="en-GB"/>
        </w:rPr>
        <w:t>for the year 2025,</w:t>
      </w:r>
      <w:r w:rsidR="008D1DD3" w:rsidRPr="00E43CC4">
        <w:rPr>
          <w:rFonts w:eastAsia="Times New Roman" w:cstheme="minorHAnsi"/>
          <w:color w:val="4A4A4A"/>
          <w:sz w:val="21"/>
          <w:szCs w:val="21"/>
          <w:lang w:val="en-US" w:eastAsia="en-GB"/>
        </w:rPr>
        <w:t xml:space="preserve"> </w:t>
      </w:r>
      <w:r w:rsidR="00B841C6">
        <w:rPr>
          <w:rFonts w:eastAsia="Times New Roman" w:cstheme="minorHAnsi"/>
          <w:color w:val="4A4A4A"/>
          <w:sz w:val="21"/>
          <w:szCs w:val="21"/>
          <w:lang w:val="en-US" w:eastAsia="en-GB"/>
        </w:rPr>
        <w:t>was</w:t>
      </w:r>
      <w:r w:rsidR="008D1DD3" w:rsidRPr="00E43CC4">
        <w:rPr>
          <w:rFonts w:eastAsia="Times New Roman" w:cstheme="minorHAnsi"/>
          <w:color w:val="4A4A4A"/>
          <w:sz w:val="21"/>
          <w:szCs w:val="21"/>
          <w:lang w:val="en-US" w:eastAsia="en-GB"/>
        </w:rPr>
        <w:t xml:space="preserve"> released </w:t>
      </w:r>
      <w:r w:rsidR="006F5B16">
        <w:rPr>
          <w:rFonts w:eastAsia="Times New Roman" w:cstheme="minorHAnsi"/>
          <w:color w:val="4A4A4A"/>
          <w:sz w:val="21"/>
          <w:szCs w:val="21"/>
          <w:lang w:val="en-US" w:eastAsia="en-GB"/>
        </w:rPr>
        <w:t xml:space="preserve">in </w:t>
      </w:r>
      <w:r w:rsidR="00873277">
        <w:rPr>
          <w:rFonts w:eastAsia="Times New Roman" w:cstheme="minorHAnsi"/>
          <w:color w:val="4A4A4A"/>
          <w:sz w:val="21"/>
          <w:szCs w:val="21"/>
          <w:lang w:val="en-US" w:eastAsia="en-GB"/>
        </w:rPr>
        <w:t>October 2025</w:t>
      </w:r>
      <w:r w:rsidR="008D1DD3" w:rsidRPr="00E43CC4">
        <w:rPr>
          <w:rFonts w:eastAsia="Times New Roman" w:cstheme="minorHAnsi"/>
          <w:color w:val="4A4A4A"/>
          <w:sz w:val="21"/>
          <w:szCs w:val="21"/>
          <w:lang w:val="en-US" w:eastAsia="en-GB"/>
        </w:rPr>
        <w:t xml:space="preserve">.  </w:t>
      </w:r>
    </w:p>
    <w:p w14:paraId="4F9729EA" w14:textId="1A1ADE94" w:rsidR="00BE233F" w:rsidRDefault="00BE233F" w:rsidP="00957524">
      <w:pPr>
        <w:shd w:val="clear" w:color="auto" w:fill="FFFFFF"/>
        <w:spacing w:after="0"/>
        <w:contextualSpacing/>
        <w:rPr>
          <w:rFonts w:eastAsia="Times New Roman" w:cstheme="minorHAnsi"/>
          <w:color w:val="4A4A4A"/>
          <w:sz w:val="21"/>
          <w:szCs w:val="21"/>
          <w:lang w:val="en-US" w:eastAsia="en-GB"/>
        </w:rPr>
      </w:pPr>
      <w:r w:rsidRPr="00BE233F">
        <w:rPr>
          <w:rFonts w:eastAsia="Times New Roman" w:cstheme="minorHAnsi"/>
          <w:color w:val="4A4A4A"/>
          <w:sz w:val="21"/>
          <w:szCs w:val="21"/>
          <w:lang w:val="en-US" w:eastAsia="en-GB"/>
        </w:rPr>
        <w:t xml:space="preserve">Data from countries that voluntarily updated their national reports before the end of September are included in the SDG reports </w:t>
      </w:r>
      <w:proofErr w:type="gramStart"/>
      <w:r w:rsidRPr="00BE233F">
        <w:rPr>
          <w:rFonts w:eastAsia="Times New Roman" w:cstheme="minorHAnsi"/>
          <w:color w:val="4A4A4A"/>
          <w:sz w:val="21"/>
          <w:szCs w:val="21"/>
          <w:lang w:val="en-US" w:eastAsia="en-GB"/>
        </w:rPr>
        <w:t>of</w:t>
      </w:r>
      <w:proofErr w:type="gramEnd"/>
      <w:r w:rsidRPr="00BE233F">
        <w:rPr>
          <w:rFonts w:eastAsia="Times New Roman" w:cstheme="minorHAnsi"/>
          <w:color w:val="4A4A4A"/>
          <w:sz w:val="21"/>
          <w:szCs w:val="21"/>
          <w:lang w:val="en-US" w:eastAsia="en-GB"/>
        </w:rPr>
        <w:t xml:space="preserve"> the following year.</w:t>
      </w:r>
    </w:p>
    <w:p w14:paraId="16805711" w14:textId="6903B5CE" w:rsidR="00BB7E28" w:rsidRDefault="00BB7E28" w:rsidP="00957524">
      <w:pPr>
        <w:shd w:val="clear" w:color="auto" w:fill="FFFFFF"/>
        <w:spacing w:after="0"/>
        <w:contextualSpacing/>
        <w:rPr>
          <w:rFonts w:ascii="Calibri" w:eastAsia="Times New Roman" w:hAnsi="Calibri" w:cs="Times New Roman"/>
          <w:color w:val="4A4A4A"/>
          <w:sz w:val="21"/>
          <w:szCs w:val="21"/>
          <w:lang w:val="en-US" w:eastAsia="en-GB"/>
        </w:rPr>
      </w:pPr>
      <w:r>
        <w:rPr>
          <w:rFonts w:ascii="Calibri" w:eastAsia="Times New Roman" w:hAnsi="Calibri" w:cs="Times New Roman"/>
          <w:color w:val="4A4A4A"/>
          <w:sz w:val="21"/>
          <w:szCs w:val="21"/>
          <w:lang w:eastAsia="en-GB"/>
        </w:rPr>
        <w:t>The n</w:t>
      </w:r>
      <w:r w:rsidR="00B841C6">
        <w:rPr>
          <w:rFonts w:ascii="Calibri" w:eastAsia="Times New Roman" w:hAnsi="Calibri" w:cs="Times New Roman"/>
          <w:color w:val="4A4A4A"/>
          <w:sz w:val="21"/>
          <w:szCs w:val="21"/>
          <w:lang w:eastAsia="en-GB"/>
        </w:rPr>
        <w:t xml:space="preserve">ext release of a </w:t>
      </w:r>
      <w:r w:rsidR="008A596E">
        <w:rPr>
          <w:rFonts w:ascii="Calibri" w:eastAsia="Times New Roman" w:hAnsi="Calibri" w:cs="Times New Roman"/>
          <w:color w:val="4A4A4A"/>
          <w:sz w:val="21"/>
          <w:szCs w:val="21"/>
          <w:lang w:eastAsia="en-GB"/>
        </w:rPr>
        <w:t>completely updated</w:t>
      </w:r>
      <w:r w:rsidR="005D6ACB">
        <w:rPr>
          <w:rFonts w:ascii="Calibri" w:eastAsia="Times New Roman" w:hAnsi="Calibri" w:cs="Times New Roman"/>
          <w:color w:val="4A4A4A"/>
          <w:sz w:val="21"/>
          <w:szCs w:val="21"/>
          <w:lang w:eastAsia="en-GB"/>
        </w:rPr>
        <w:t xml:space="preserve"> </w:t>
      </w:r>
      <w:r w:rsidR="00B841C6">
        <w:rPr>
          <w:rFonts w:ascii="Calibri" w:eastAsia="Times New Roman" w:hAnsi="Calibri" w:cs="Times New Roman"/>
          <w:color w:val="4A4A4A"/>
          <w:sz w:val="21"/>
          <w:szCs w:val="21"/>
          <w:lang w:eastAsia="en-GB"/>
        </w:rPr>
        <w:t xml:space="preserve">FRA dataset is scheduled for </w:t>
      </w:r>
      <w:r w:rsidR="00BE233F">
        <w:rPr>
          <w:rFonts w:ascii="Calibri" w:eastAsia="Times New Roman" w:hAnsi="Calibri" w:cs="Times New Roman"/>
          <w:color w:val="4A4A4A"/>
          <w:sz w:val="21"/>
          <w:szCs w:val="21"/>
          <w:lang w:eastAsia="en-GB"/>
        </w:rPr>
        <w:t>2030</w:t>
      </w:r>
      <w:r w:rsidR="00B841C6">
        <w:rPr>
          <w:rFonts w:ascii="Calibri" w:eastAsia="Times New Roman" w:hAnsi="Calibri" w:cs="Times New Roman"/>
          <w:color w:val="4A4A4A"/>
          <w:sz w:val="21"/>
          <w:szCs w:val="21"/>
          <w:lang w:eastAsia="en-GB"/>
        </w:rPr>
        <w:t>.</w:t>
      </w:r>
      <w:r w:rsidR="00B841C6" w:rsidRPr="00957524">
        <w:rPr>
          <w:rFonts w:ascii="Calibri" w:hAnsi="Calibri"/>
          <w:color w:val="4A4A4A"/>
          <w:sz w:val="21"/>
        </w:rPr>
        <w:t xml:space="preserve"> </w:t>
      </w:r>
    </w:p>
    <w:p w14:paraId="0A0836E4" w14:textId="39809FD4" w:rsidR="00B841C6" w:rsidRPr="00957524" w:rsidRDefault="00B841C6" w:rsidP="00957524">
      <w:pPr>
        <w:shd w:val="clear" w:color="auto" w:fill="FFFFFF"/>
        <w:spacing w:after="0"/>
        <w:contextualSpacing/>
        <w:rPr>
          <w:rFonts w:ascii="Calibri" w:hAnsi="Calibri"/>
          <w:color w:val="4A4A4A"/>
          <w:sz w:val="21"/>
          <w:lang w:val="en-US"/>
        </w:rPr>
      </w:pPr>
      <w:r w:rsidRPr="00D3344D">
        <w:rPr>
          <w:rFonts w:ascii="Calibri" w:eastAsia="Times New Roman" w:hAnsi="Calibri" w:cs="Times New Roman"/>
          <w:color w:val="4A4A4A"/>
          <w:sz w:val="21"/>
          <w:szCs w:val="21"/>
          <w:lang w:val="en-US" w:eastAsia="en-GB"/>
        </w:rPr>
        <w:t>Data on forest certification is updated annually</w:t>
      </w:r>
      <w:r w:rsidRPr="00D3344D">
        <w:rPr>
          <w:rFonts w:ascii="Calibri" w:hAnsi="Calibri"/>
          <w:color w:val="4A4A4A"/>
          <w:sz w:val="21"/>
          <w:lang w:val="en-US"/>
        </w:rPr>
        <w:t>.</w:t>
      </w:r>
    </w:p>
    <w:p w14:paraId="64C749BD" w14:textId="5B907617" w:rsidR="00EC2915" w:rsidRPr="00E43CC4" w:rsidRDefault="00EC2915" w:rsidP="00576CFA">
      <w:pPr>
        <w:pStyle w:val="MText"/>
        <w:rPr>
          <w:rFonts w:cstheme="minorHAnsi"/>
        </w:rPr>
      </w:pPr>
    </w:p>
    <w:p w14:paraId="3A4F3065" w14:textId="3AD52F9D" w:rsidR="00E46D96" w:rsidRPr="00E43CC4" w:rsidRDefault="00E46D96" w:rsidP="00F719A8">
      <w:pPr>
        <w:pStyle w:val="MHeader2"/>
        <w:rPr>
          <w:rFonts w:cstheme="minorHAnsi"/>
        </w:rPr>
      </w:pPr>
      <w:r w:rsidRPr="00E43CC4">
        <w:rPr>
          <w:rFonts w:cstheme="minorHAnsi"/>
        </w:rPr>
        <w:t xml:space="preserve">3.e. Data providers </w:t>
      </w:r>
      <w:r>
        <w:rPr>
          <w:color w:val="B4B4B4"/>
          <w:sz w:val="20"/>
        </w:rPr>
        <w:t>(DATA_SOURCE)</w:t>
      </w:r>
    </w:p>
    <w:p w14:paraId="73757EFE" w14:textId="276F2AE5" w:rsidR="008D1DD3" w:rsidRPr="00E43CC4" w:rsidRDefault="008D1DD3" w:rsidP="008D1DD3">
      <w:pPr>
        <w:shd w:val="clear" w:color="auto" w:fill="FFFFFF"/>
        <w:spacing w:after="0" w:line="256" w:lineRule="auto"/>
        <w:contextualSpacing/>
        <w:rPr>
          <w:rFonts w:eastAsia="Times New Roman" w:cstheme="minorHAnsi"/>
          <w:color w:val="4A4A4A"/>
          <w:sz w:val="21"/>
          <w:szCs w:val="21"/>
          <w:lang w:val="en-US" w:eastAsia="en-GB"/>
        </w:rPr>
      </w:pPr>
      <w:r w:rsidRPr="00E43CC4">
        <w:rPr>
          <w:rFonts w:eastAsia="Times New Roman" w:cstheme="minorHAnsi"/>
          <w:color w:val="4A4A4A"/>
          <w:sz w:val="21"/>
          <w:szCs w:val="21"/>
          <w:lang w:val="en-US" w:eastAsia="en-GB"/>
        </w:rPr>
        <w:t xml:space="preserve">The data </w:t>
      </w:r>
      <w:r w:rsidR="00095D74">
        <w:rPr>
          <w:rFonts w:eastAsia="Times New Roman" w:cstheme="minorHAnsi"/>
          <w:color w:val="4A4A4A"/>
          <w:sz w:val="21"/>
          <w:szCs w:val="21"/>
          <w:lang w:val="en-US" w:eastAsia="en-GB"/>
        </w:rPr>
        <w:t>for sub</w:t>
      </w:r>
      <w:r w:rsidR="006F5B16">
        <w:rPr>
          <w:rFonts w:eastAsia="Times New Roman" w:cstheme="minorHAnsi"/>
          <w:color w:val="4A4A4A"/>
          <w:sz w:val="21"/>
          <w:szCs w:val="21"/>
          <w:lang w:val="en-US" w:eastAsia="en-GB"/>
        </w:rPr>
        <w:t>-</w:t>
      </w:r>
      <w:r w:rsidR="00095D74">
        <w:rPr>
          <w:rFonts w:eastAsia="Times New Roman" w:cstheme="minorHAnsi"/>
          <w:color w:val="4A4A4A"/>
          <w:sz w:val="21"/>
          <w:szCs w:val="21"/>
          <w:lang w:val="en-US" w:eastAsia="en-GB"/>
        </w:rPr>
        <w:t xml:space="preserve">indicators 1 to 4 </w:t>
      </w:r>
      <w:r w:rsidRPr="00E43CC4">
        <w:rPr>
          <w:rFonts w:eastAsia="Times New Roman" w:cstheme="minorHAnsi"/>
          <w:color w:val="4A4A4A"/>
          <w:sz w:val="21"/>
          <w:szCs w:val="21"/>
          <w:lang w:val="en-US" w:eastAsia="en-GB"/>
        </w:rPr>
        <w:t xml:space="preserve">are provided by the countries through a global network of </w:t>
      </w:r>
      <w:proofErr w:type="gramStart"/>
      <w:r w:rsidRPr="00E43CC4">
        <w:rPr>
          <w:rFonts w:eastAsia="Times New Roman" w:cstheme="minorHAnsi"/>
          <w:color w:val="4A4A4A"/>
          <w:sz w:val="21"/>
          <w:szCs w:val="21"/>
          <w:lang w:val="en-US" w:eastAsia="en-GB"/>
        </w:rPr>
        <w:t>officially</w:t>
      </w:r>
      <w:r w:rsidR="00324E96">
        <w:rPr>
          <w:rFonts w:eastAsia="Times New Roman" w:cstheme="minorHAnsi"/>
          <w:color w:val="4A4A4A"/>
          <w:sz w:val="21"/>
          <w:szCs w:val="21"/>
          <w:lang w:val="en-US" w:eastAsia="en-GB"/>
        </w:rPr>
        <w:t>-</w:t>
      </w:r>
      <w:r w:rsidRPr="00E43CC4">
        <w:rPr>
          <w:rFonts w:eastAsia="Times New Roman" w:cstheme="minorHAnsi"/>
          <w:color w:val="4A4A4A"/>
          <w:sz w:val="21"/>
          <w:szCs w:val="21"/>
          <w:lang w:val="en-US" w:eastAsia="en-GB"/>
        </w:rPr>
        <w:t>nominated</w:t>
      </w:r>
      <w:proofErr w:type="gramEnd"/>
      <w:r w:rsidRPr="00E43CC4">
        <w:rPr>
          <w:rFonts w:eastAsia="Times New Roman" w:cstheme="minorHAnsi"/>
          <w:color w:val="4A4A4A"/>
          <w:sz w:val="21"/>
          <w:szCs w:val="21"/>
          <w:lang w:val="en-US" w:eastAsia="en-GB"/>
        </w:rPr>
        <w:t xml:space="preserve"> national correspondents. For th</w:t>
      </w:r>
      <w:r w:rsidR="00324E96">
        <w:rPr>
          <w:rFonts w:eastAsia="Times New Roman" w:cstheme="minorHAnsi"/>
          <w:color w:val="4A4A4A"/>
          <w:sz w:val="21"/>
          <w:szCs w:val="21"/>
          <w:lang w:val="en-US" w:eastAsia="en-GB"/>
        </w:rPr>
        <w:t>ose</w:t>
      </w:r>
      <w:r w:rsidRPr="00E43CC4">
        <w:rPr>
          <w:rFonts w:eastAsia="Times New Roman" w:cstheme="minorHAnsi"/>
          <w:color w:val="4A4A4A"/>
          <w:sz w:val="21"/>
          <w:szCs w:val="21"/>
          <w:lang w:val="en-US" w:eastAsia="en-GB"/>
        </w:rPr>
        <w:t xml:space="preserve"> countries and territories </w:t>
      </w:r>
      <w:r w:rsidR="003877E1">
        <w:rPr>
          <w:rFonts w:eastAsia="Times New Roman" w:cstheme="minorHAnsi"/>
          <w:color w:val="4A4A4A"/>
          <w:sz w:val="21"/>
          <w:szCs w:val="21"/>
          <w:lang w:val="en-US" w:eastAsia="en-GB"/>
        </w:rPr>
        <w:t xml:space="preserve">that </w:t>
      </w:r>
      <w:r w:rsidRPr="00E43CC4">
        <w:rPr>
          <w:rFonts w:eastAsia="Times New Roman" w:cstheme="minorHAnsi"/>
          <w:color w:val="4A4A4A"/>
          <w:sz w:val="21"/>
          <w:szCs w:val="21"/>
          <w:lang w:val="en-US" w:eastAsia="en-GB"/>
        </w:rPr>
        <w:t xml:space="preserve">do not have a national correspondent, a report is prepared by FAO using </w:t>
      </w:r>
      <w:proofErr w:type="gramStart"/>
      <w:r w:rsidRPr="00E43CC4">
        <w:rPr>
          <w:rFonts w:eastAsia="Times New Roman" w:cstheme="minorHAnsi"/>
          <w:color w:val="4A4A4A"/>
          <w:sz w:val="21"/>
          <w:szCs w:val="21"/>
          <w:lang w:val="en-US" w:eastAsia="en-GB"/>
        </w:rPr>
        <w:t>previously</w:t>
      </w:r>
      <w:r w:rsidR="00324E96">
        <w:rPr>
          <w:rFonts w:eastAsia="Times New Roman" w:cstheme="minorHAnsi"/>
          <w:color w:val="4A4A4A"/>
          <w:sz w:val="21"/>
          <w:szCs w:val="21"/>
          <w:lang w:val="en-US" w:eastAsia="en-GB"/>
        </w:rPr>
        <w:t>-</w:t>
      </w:r>
      <w:r w:rsidRPr="00E43CC4">
        <w:rPr>
          <w:rFonts w:eastAsia="Times New Roman" w:cstheme="minorHAnsi"/>
          <w:color w:val="4A4A4A"/>
          <w:sz w:val="21"/>
          <w:szCs w:val="21"/>
          <w:lang w:val="en-US" w:eastAsia="en-GB"/>
        </w:rPr>
        <w:t>reported</w:t>
      </w:r>
      <w:proofErr w:type="gramEnd"/>
      <w:r w:rsidRPr="00E43CC4">
        <w:rPr>
          <w:rFonts w:eastAsia="Times New Roman" w:cstheme="minorHAnsi"/>
          <w:color w:val="4A4A4A"/>
          <w:sz w:val="21"/>
          <w:szCs w:val="21"/>
          <w:lang w:val="en-US" w:eastAsia="en-GB"/>
        </w:rPr>
        <w:t xml:space="preserve"> information, literature search, remote sensing or their combination.</w:t>
      </w:r>
    </w:p>
    <w:p w14:paraId="7D95D280"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 </w:t>
      </w:r>
    </w:p>
    <w:p w14:paraId="77B97EFE" w14:textId="559E0E76"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For sub</w:t>
      </w:r>
      <w:r w:rsidR="006F5B16">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indicator 5, forest certification data are provided by</w:t>
      </w:r>
      <w:r w:rsidR="00704E8A">
        <w:rPr>
          <w:rFonts w:eastAsia="Calibri" w:cstheme="minorHAnsi"/>
          <w:color w:val="4A4A4A"/>
          <w:sz w:val="21"/>
          <w:szCs w:val="21"/>
          <w:lang w:val="en-US" w:eastAsia="en-US"/>
        </w:rPr>
        <w:t xml:space="preserve"> the</w:t>
      </w:r>
      <w:r w:rsidRPr="00E43CC4">
        <w:rPr>
          <w:rFonts w:eastAsia="Calibri" w:cstheme="minorHAnsi"/>
          <w:color w:val="4A4A4A"/>
          <w:sz w:val="21"/>
          <w:szCs w:val="21"/>
          <w:lang w:val="en-US" w:eastAsia="en-US"/>
        </w:rPr>
        <w:t xml:space="preserve"> head offices of </w:t>
      </w:r>
      <w:r w:rsidR="00AA0026">
        <w:rPr>
          <w:rFonts w:eastAsia="Calibri" w:cstheme="minorHAnsi"/>
          <w:color w:val="4A4A4A"/>
          <w:sz w:val="21"/>
          <w:szCs w:val="21"/>
          <w:lang w:val="en-US" w:eastAsia="en-US"/>
        </w:rPr>
        <w:t xml:space="preserve">the </w:t>
      </w:r>
      <w:r w:rsidRPr="00E43CC4">
        <w:rPr>
          <w:rFonts w:eastAsia="Calibri" w:cstheme="minorHAnsi"/>
          <w:color w:val="4A4A4A"/>
          <w:sz w:val="21"/>
          <w:szCs w:val="21"/>
          <w:lang w:val="en-US" w:eastAsia="en-US"/>
        </w:rPr>
        <w:t>respective forest certification scheme</w:t>
      </w:r>
      <w:r w:rsidR="00AA0026">
        <w:rPr>
          <w:rFonts w:eastAsia="Calibri" w:cstheme="minorHAnsi"/>
          <w:color w:val="4A4A4A"/>
          <w:sz w:val="21"/>
          <w:szCs w:val="21"/>
          <w:lang w:val="en-US" w:eastAsia="en-US"/>
        </w:rPr>
        <w:t>s</w:t>
      </w:r>
      <w:r w:rsidRPr="00E43CC4">
        <w:rPr>
          <w:rFonts w:eastAsia="Calibri" w:cstheme="minorHAnsi"/>
          <w:color w:val="4A4A4A"/>
          <w:sz w:val="21"/>
          <w:szCs w:val="21"/>
          <w:lang w:val="en-US" w:eastAsia="en-US"/>
        </w:rPr>
        <w:t>.</w:t>
      </w:r>
    </w:p>
    <w:p w14:paraId="50A66E64" w14:textId="77777777" w:rsidR="00EC2915" w:rsidRPr="00E43CC4" w:rsidRDefault="00EC2915" w:rsidP="00576CFA">
      <w:pPr>
        <w:pStyle w:val="MText"/>
        <w:rPr>
          <w:rFonts w:cstheme="minorHAnsi"/>
        </w:rPr>
      </w:pPr>
    </w:p>
    <w:p w14:paraId="30DC8E05" w14:textId="484D6EC2" w:rsidR="00E46D96" w:rsidRPr="00E43CC4" w:rsidRDefault="00E46D96" w:rsidP="00F719A8">
      <w:pPr>
        <w:pStyle w:val="MHeader2"/>
        <w:rPr>
          <w:rFonts w:cstheme="minorHAnsi"/>
        </w:rPr>
      </w:pPr>
      <w:r w:rsidRPr="00E43CC4">
        <w:rPr>
          <w:rFonts w:cstheme="minorHAnsi"/>
        </w:rPr>
        <w:t xml:space="preserve">3.f. Data compilers </w:t>
      </w:r>
      <w:r>
        <w:rPr>
          <w:color w:val="B4B4B4"/>
          <w:sz w:val="20"/>
        </w:rPr>
        <w:t>(COMPILING_ORG)</w:t>
      </w:r>
    </w:p>
    <w:p w14:paraId="03789A1E" w14:textId="4B85450B" w:rsidR="004C2F9D" w:rsidRPr="00E43CC4" w:rsidRDefault="004C2F9D" w:rsidP="004C2F9D">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Food and Agriculture </w:t>
      </w:r>
      <w:r w:rsidR="005B696F" w:rsidRPr="00E43CC4">
        <w:rPr>
          <w:rFonts w:eastAsia="Calibri" w:cstheme="minorHAnsi"/>
          <w:color w:val="4A4A4A"/>
          <w:sz w:val="21"/>
          <w:szCs w:val="21"/>
          <w:lang w:val="en-US" w:eastAsia="en-US"/>
        </w:rPr>
        <w:t>Organization</w:t>
      </w:r>
      <w:r w:rsidRPr="00E43CC4">
        <w:rPr>
          <w:rFonts w:eastAsia="Calibri" w:cstheme="minorHAnsi"/>
          <w:color w:val="4A4A4A"/>
          <w:sz w:val="21"/>
          <w:szCs w:val="21"/>
          <w:lang w:val="en-US" w:eastAsia="en-US"/>
        </w:rPr>
        <w:t xml:space="preserve"> of the United Nations (FAO) </w:t>
      </w:r>
    </w:p>
    <w:p w14:paraId="5C43435B" w14:textId="77777777" w:rsidR="00EC2915" w:rsidRPr="00E43CC4" w:rsidRDefault="00EC2915" w:rsidP="00576CFA">
      <w:pPr>
        <w:pStyle w:val="MText"/>
        <w:rPr>
          <w:rFonts w:cstheme="minorHAnsi"/>
        </w:rPr>
      </w:pPr>
    </w:p>
    <w:p w14:paraId="5655E768" w14:textId="5429F32E" w:rsidR="00E46D96" w:rsidRPr="00E43CC4" w:rsidRDefault="00E46D96" w:rsidP="00557826">
      <w:pPr>
        <w:pStyle w:val="MHeader2"/>
        <w:keepNext/>
        <w:rPr>
          <w:rFonts w:cstheme="minorHAnsi"/>
        </w:rPr>
      </w:pPr>
      <w:r w:rsidRPr="00E43CC4">
        <w:rPr>
          <w:rFonts w:cstheme="minorHAnsi"/>
        </w:rPr>
        <w:t xml:space="preserve">3.g. Institutional mandate </w:t>
      </w:r>
      <w:r>
        <w:rPr>
          <w:color w:val="B4B4B4"/>
          <w:sz w:val="20"/>
        </w:rPr>
        <w:t>(INST_MANDATE)</w:t>
      </w:r>
    </w:p>
    <w:p w14:paraId="2C06C439" w14:textId="5C48301C" w:rsidR="0021071D" w:rsidRDefault="0021071D" w:rsidP="0021071D">
      <w:pPr>
        <w:pStyle w:val="MText"/>
      </w:pPr>
      <w:r>
        <w:t xml:space="preserve">Article 1 of FAO’s constitution specifies that, “The Organization shall collect, </w:t>
      </w:r>
      <w:r w:rsidR="004E2B2C">
        <w:t>analyse</w:t>
      </w:r>
      <w:r>
        <w:t>, interpret, and disseminate information related to nutrition, food and agriculture.” In this regard, FAO collects national</w:t>
      </w:r>
      <w:r w:rsidR="00704E8A">
        <w:t>-</w:t>
      </w:r>
      <w:r>
        <w:t xml:space="preserve">level data from member countries, which it then standardizes and disseminates through corporate statistical databases. </w:t>
      </w:r>
      <w:r w:rsidRPr="0080446F">
        <w:t xml:space="preserve">FAO is the custodian UN agency for </w:t>
      </w:r>
      <w:r w:rsidR="00AC61F4">
        <w:t>22</w:t>
      </w:r>
      <w:r w:rsidR="00AC61F4" w:rsidRPr="0080446F">
        <w:t xml:space="preserve"> </w:t>
      </w:r>
      <w:r w:rsidRPr="0080446F">
        <w:t>SDG indicators</w:t>
      </w:r>
      <w:r>
        <w:t>, including 15.2.1.</w:t>
      </w:r>
    </w:p>
    <w:p w14:paraId="3D063F4C" w14:textId="08DA7FD9" w:rsidR="00F719A8" w:rsidRPr="00E43CC4" w:rsidRDefault="00F719A8" w:rsidP="00576CFA">
      <w:pPr>
        <w:pStyle w:val="MText"/>
        <w:rPr>
          <w:rFonts w:cstheme="minorHAnsi"/>
        </w:rPr>
      </w:pPr>
    </w:p>
    <w:p w14:paraId="6149DC94" w14:textId="05781947" w:rsidR="00B31E2C" w:rsidRPr="00E43CC4" w:rsidRDefault="00B31E2C" w:rsidP="00557826">
      <w:pPr>
        <w:pStyle w:val="MHeader"/>
        <w:keepNext/>
        <w:rPr>
          <w:rFonts w:cstheme="minorHAnsi"/>
        </w:rPr>
      </w:pPr>
      <w:r w:rsidRPr="00E43CC4">
        <w:rPr>
          <w:rFonts w:cstheme="minorHAnsi"/>
        </w:rPr>
        <w:t xml:space="preserve">4. Other methodological considerations </w:t>
      </w:r>
      <w:r>
        <w:rPr>
          <w:color w:val="B4B4B4"/>
          <w:sz w:val="20"/>
        </w:rPr>
        <w:t>(OTHER_METHOD)</w:t>
      </w:r>
    </w:p>
    <w:p w14:paraId="1AFA5517" w14:textId="54FD9B10" w:rsidR="00AF5ED1" w:rsidRPr="00E43CC4" w:rsidRDefault="00576CFA" w:rsidP="00557826">
      <w:pPr>
        <w:pStyle w:val="MHeader2"/>
        <w:keepNext/>
        <w:rPr>
          <w:rFonts w:cstheme="minorHAnsi"/>
        </w:rPr>
      </w:pPr>
      <w:r w:rsidRPr="00E43CC4">
        <w:rPr>
          <w:rFonts w:cstheme="minorHAnsi"/>
        </w:rPr>
        <w:t xml:space="preserve">4.a. Rationale </w:t>
      </w:r>
      <w:r>
        <w:rPr>
          <w:color w:val="B4B4B4"/>
          <w:sz w:val="20"/>
        </w:rPr>
        <w:t>(RATIONALE)</w:t>
      </w:r>
    </w:p>
    <w:p w14:paraId="0D3B474B" w14:textId="0A0CFAC8"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The definition of</w:t>
      </w:r>
      <w:r w:rsidR="00A12BE9">
        <w:rPr>
          <w:rFonts w:eastAsia="Calibri" w:cstheme="minorHAnsi"/>
          <w:color w:val="4A4A4A"/>
          <w:sz w:val="21"/>
          <w:szCs w:val="21"/>
          <w:lang w:val="en-US" w:eastAsia="en-US"/>
        </w:rPr>
        <w:t xml:space="preserve"> sustainable forest management</w:t>
      </w:r>
      <w:r w:rsidRPr="00E43CC4">
        <w:rPr>
          <w:rFonts w:eastAsia="Calibri" w:cstheme="minorHAnsi"/>
          <w:color w:val="4A4A4A"/>
          <w:sz w:val="21"/>
          <w:szCs w:val="21"/>
          <w:lang w:val="en-US" w:eastAsia="en-US"/>
        </w:rPr>
        <w:t xml:space="preserve"> </w:t>
      </w:r>
      <w:r w:rsidR="00A12BE9">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SFM</w:t>
      </w:r>
      <w:r w:rsidR="00A12BE9">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by the UN General Assembly contains several key aspects, notably that </w:t>
      </w:r>
      <w:r w:rsidR="00A12BE9">
        <w:rPr>
          <w:rFonts w:eastAsia="Calibri" w:cstheme="minorHAnsi"/>
          <w:color w:val="4A4A4A"/>
          <w:sz w:val="21"/>
          <w:szCs w:val="21"/>
          <w:lang w:val="en-US" w:eastAsia="en-US"/>
        </w:rPr>
        <w:t>SFM</w:t>
      </w:r>
      <w:r w:rsidRPr="00E43CC4">
        <w:rPr>
          <w:rFonts w:eastAsia="Calibri" w:cstheme="minorHAnsi"/>
          <w:color w:val="4A4A4A"/>
          <w:sz w:val="21"/>
          <w:szCs w:val="21"/>
          <w:lang w:val="en-US" w:eastAsia="en-US"/>
        </w:rPr>
        <w:t xml:space="preserve"> is a concept </w:t>
      </w:r>
      <w:r w:rsidR="00AA0026">
        <w:rPr>
          <w:rFonts w:eastAsia="Calibri" w:cstheme="minorHAnsi"/>
          <w:color w:val="4A4A4A"/>
          <w:sz w:val="21"/>
          <w:szCs w:val="21"/>
          <w:lang w:val="en-US" w:eastAsia="en-US"/>
        </w:rPr>
        <w:t>that</w:t>
      </w:r>
      <w:r w:rsidR="00AA0026"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varies over time and between countries, whose circumstances – ecological, social and economic – vary widely, but that it should always address a wide range of forest values, including economic, social and environmental values, and take intergenerational equity into account. </w:t>
      </w:r>
    </w:p>
    <w:p w14:paraId="362AAF5C" w14:textId="59D62834"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Clearly</w:t>
      </w:r>
      <w:r w:rsidR="009971F4">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a simple measure of forest area is insufficient to monitor sustainable forest </w:t>
      </w:r>
      <w:proofErr w:type="gramStart"/>
      <w:r w:rsidRPr="00E43CC4">
        <w:rPr>
          <w:rFonts w:eastAsia="Calibri" w:cstheme="minorHAnsi"/>
          <w:color w:val="4A4A4A"/>
          <w:sz w:val="21"/>
          <w:szCs w:val="21"/>
          <w:lang w:val="en-US" w:eastAsia="en-US"/>
        </w:rPr>
        <w:t>management as a whole</w:t>
      </w:r>
      <w:proofErr w:type="gramEnd"/>
      <w:r w:rsidRPr="00E43CC4">
        <w:rPr>
          <w:rFonts w:eastAsia="Calibri" w:cstheme="minorHAnsi"/>
          <w:color w:val="4A4A4A"/>
          <w:sz w:val="21"/>
          <w:szCs w:val="21"/>
          <w:lang w:val="en-US" w:eastAsia="en-US"/>
        </w:rPr>
        <w:t xml:space="preserve">. The significance of the five sub-indicators can be briefly explained as follows: </w:t>
      </w:r>
    </w:p>
    <w:p w14:paraId="1E962F38" w14:textId="2E1EDECF" w:rsidR="008D1DD3" w:rsidRPr="00E43CC4" w:rsidRDefault="008D1DD3" w:rsidP="008D1DD3">
      <w:pPr>
        <w:numPr>
          <w:ilvl w:val="0"/>
          <w:numId w:val="6"/>
        </w:num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lastRenderedPageBreak/>
        <w:t xml:space="preserve">Trends in forest area are crucial for monitoring SFM. The first sub-indicator focuses on both the direction of change (whether there is a loss or gain in forest area) and how the change rate </w:t>
      </w:r>
      <w:r w:rsidR="00B82BA0">
        <w:rPr>
          <w:rFonts w:eastAsia="Calibri" w:cstheme="minorHAnsi"/>
          <w:color w:val="4A4A4A"/>
          <w:sz w:val="21"/>
          <w:szCs w:val="21"/>
          <w:lang w:val="en-US" w:eastAsia="en-US"/>
        </w:rPr>
        <w:t>varies</w:t>
      </w:r>
      <w:r w:rsidRPr="00E43CC4">
        <w:rPr>
          <w:rFonts w:eastAsia="Calibri" w:cstheme="minorHAnsi"/>
          <w:color w:val="4A4A4A"/>
          <w:sz w:val="21"/>
          <w:szCs w:val="21"/>
          <w:lang w:val="en-US" w:eastAsia="en-US"/>
        </w:rPr>
        <w:t xml:space="preserve"> over time; the latter is important to capture progress among countries that are losing forest </w:t>
      </w:r>
      <w:r w:rsidR="005B696F" w:rsidRPr="00E43CC4">
        <w:rPr>
          <w:rFonts w:eastAsia="Calibri" w:cstheme="minorHAnsi"/>
          <w:color w:val="4A4A4A"/>
          <w:sz w:val="21"/>
          <w:szCs w:val="21"/>
          <w:lang w:val="en-US" w:eastAsia="en-US"/>
        </w:rPr>
        <w:t>area but</w:t>
      </w:r>
      <w:r w:rsidRPr="00E43CC4">
        <w:rPr>
          <w:rFonts w:eastAsia="Calibri" w:cstheme="minorHAnsi"/>
          <w:color w:val="4A4A4A"/>
          <w:sz w:val="21"/>
          <w:szCs w:val="21"/>
          <w:lang w:val="en-US" w:eastAsia="en-US"/>
        </w:rPr>
        <w:t xml:space="preserve"> have managed to reduce the rate of annual forest area loss. </w:t>
      </w:r>
    </w:p>
    <w:p w14:paraId="029E462C" w14:textId="1F234F76" w:rsidR="008D1DD3" w:rsidRPr="00E43CC4" w:rsidRDefault="008D1DD3" w:rsidP="008D1DD3">
      <w:pPr>
        <w:numPr>
          <w:ilvl w:val="0"/>
          <w:numId w:val="6"/>
        </w:num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Changes in the above-ground biomass stock in forest indicate the balance between gains in biomass stock due to forest growth and losses due to wood removals, natural losses, fire, wind, pests and diseases. At</w:t>
      </w:r>
      <w:r w:rsidR="002526D4">
        <w:rPr>
          <w:rFonts w:eastAsia="Calibri" w:cstheme="minorHAnsi"/>
          <w:color w:val="4A4A4A"/>
          <w:sz w:val="21"/>
          <w:szCs w:val="21"/>
          <w:lang w:val="en-US" w:eastAsia="en-US"/>
        </w:rPr>
        <w:t xml:space="preserve"> a</w:t>
      </w:r>
      <w:r w:rsidRPr="00E43CC4">
        <w:rPr>
          <w:rFonts w:eastAsia="Calibri" w:cstheme="minorHAnsi"/>
          <w:color w:val="4A4A4A"/>
          <w:sz w:val="21"/>
          <w:szCs w:val="21"/>
          <w:lang w:val="en-US" w:eastAsia="en-US"/>
        </w:rPr>
        <w:t xml:space="preserve"> country level and over a longer period, sustainable forest management would imply a stable or increasing biomass stock per hectare, while a long-term reduction of biomass stock per hectare would imply either unsustainable management of the forests and degradation</w:t>
      </w:r>
      <w:r w:rsidR="009F7614">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or unexpected major losses due to fire, wind, pests or diseases. </w:t>
      </w:r>
    </w:p>
    <w:p w14:paraId="712F1290" w14:textId="57D7C6E0" w:rsidR="00964BE5" w:rsidRPr="00EA430B" w:rsidRDefault="008D1DD3" w:rsidP="00272ABC">
      <w:pPr>
        <w:numPr>
          <w:ilvl w:val="0"/>
          <w:numId w:val="6"/>
        </w:numPr>
        <w:autoSpaceDE w:val="0"/>
        <w:autoSpaceDN w:val="0"/>
        <w:adjustRightInd w:val="0"/>
        <w:spacing w:after="120"/>
        <w:rPr>
          <w:rFonts w:eastAsia="Calibri" w:cstheme="minorHAnsi"/>
          <w:color w:val="4A4A4A"/>
          <w:sz w:val="21"/>
          <w:szCs w:val="21"/>
          <w:lang w:val="en-US" w:eastAsia="en-US"/>
        </w:rPr>
      </w:pPr>
      <w:r w:rsidRPr="00272ABC">
        <w:rPr>
          <w:rFonts w:eastAsia="Calibri" w:cstheme="minorHAnsi"/>
          <w:color w:val="4A4A4A"/>
          <w:sz w:val="21"/>
          <w:szCs w:val="21"/>
          <w:lang w:val="en-US" w:eastAsia="en-US"/>
        </w:rPr>
        <w:t>The change in forest area within legally protected areas is a proxy for trends in conservation of forest biodiversity</w:t>
      </w:r>
      <w:r w:rsidR="00745640">
        <w:rPr>
          <w:rFonts w:eastAsia="Calibri" w:cstheme="minorHAnsi"/>
          <w:color w:val="4A4A4A"/>
          <w:sz w:val="21"/>
          <w:szCs w:val="21"/>
          <w:lang w:val="en-US" w:eastAsia="en-US"/>
        </w:rPr>
        <w:t>,</w:t>
      </w:r>
      <w:r w:rsidRPr="00272ABC">
        <w:rPr>
          <w:rFonts w:eastAsia="Calibri" w:cstheme="minorHAnsi"/>
          <w:color w:val="4A4A4A"/>
          <w:sz w:val="21"/>
          <w:szCs w:val="21"/>
          <w:lang w:val="en-US" w:eastAsia="en-US"/>
        </w:rPr>
        <w:t xml:space="preserve"> as well as cultural and spiritual values of forests</w:t>
      </w:r>
      <w:r w:rsidR="00745640">
        <w:rPr>
          <w:rFonts w:eastAsia="Calibri" w:cstheme="minorHAnsi"/>
          <w:color w:val="4A4A4A"/>
          <w:sz w:val="21"/>
          <w:szCs w:val="21"/>
          <w:lang w:val="en-US" w:eastAsia="en-US"/>
        </w:rPr>
        <w:t>,</w:t>
      </w:r>
      <w:r w:rsidRPr="00272ABC">
        <w:rPr>
          <w:rFonts w:eastAsia="Calibri" w:cstheme="minorHAnsi"/>
          <w:color w:val="4A4A4A"/>
          <w:sz w:val="21"/>
          <w:szCs w:val="21"/>
          <w:lang w:val="en-US" w:eastAsia="en-US"/>
        </w:rPr>
        <w:t xml:space="preserve"> and thus a clear indication of the political will to protect and conserve forests</w:t>
      </w:r>
      <w:r w:rsidRPr="00964BE5">
        <w:rPr>
          <w:rFonts w:eastAsia="Calibri" w:cstheme="minorHAnsi"/>
          <w:color w:val="4A4A4A"/>
          <w:sz w:val="21"/>
          <w:szCs w:val="21"/>
          <w:lang w:val="en-US" w:eastAsia="en-US"/>
        </w:rPr>
        <w:t xml:space="preserve">. This indicator </w:t>
      </w:r>
      <w:r w:rsidR="00A40CBF" w:rsidRPr="00964BE5">
        <w:rPr>
          <w:rFonts w:eastAsia="Calibri" w:cstheme="minorHAnsi"/>
          <w:color w:val="4A4A4A"/>
          <w:sz w:val="21"/>
          <w:szCs w:val="21"/>
          <w:lang w:val="en-US" w:eastAsia="en-US"/>
        </w:rPr>
        <w:t xml:space="preserve">was </w:t>
      </w:r>
      <w:r w:rsidRPr="00964BE5">
        <w:rPr>
          <w:rFonts w:eastAsia="Calibri" w:cstheme="minorHAnsi"/>
          <w:color w:val="4A4A4A"/>
          <w:sz w:val="21"/>
          <w:szCs w:val="21"/>
          <w:lang w:val="en-US" w:eastAsia="en-US"/>
        </w:rPr>
        <w:t>related to the CBD Aichi Target 11</w:t>
      </w:r>
      <w:r w:rsidR="007209E2" w:rsidRPr="00964BE5">
        <w:rPr>
          <w:rFonts w:eastAsia="Calibri" w:cstheme="minorHAnsi"/>
          <w:color w:val="4A4A4A"/>
          <w:sz w:val="21"/>
          <w:szCs w:val="21"/>
          <w:lang w:val="en-US" w:eastAsia="en-US"/>
        </w:rPr>
        <w:t>,</w:t>
      </w:r>
      <w:r w:rsidRPr="00964BE5">
        <w:rPr>
          <w:rFonts w:eastAsia="Calibri" w:cstheme="minorHAnsi"/>
          <w:color w:val="4A4A4A"/>
          <w:sz w:val="21"/>
          <w:szCs w:val="21"/>
          <w:lang w:val="en-US" w:eastAsia="en-US"/>
        </w:rPr>
        <w:t xml:space="preserve"> which call</w:t>
      </w:r>
      <w:r w:rsidR="007F2F56" w:rsidRPr="00964BE5">
        <w:rPr>
          <w:rFonts w:eastAsia="Calibri" w:cstheme="minorHAnsi"/>
          <w:color w:val="4A4A4A"/>
          <w:sz w:val="21"/>
          <w:szCs w:val="21"/>
          <w:lang w:val="en-US" w:eastAsia="en-US"/>
        </w:rPr>
        <w:t>ed</w:t>
      </w:r>
      <w:r w:rsidRPr="00964BE5">
        <w:rPr>
          <w:rFonts w:eastAsia="Calibri" w:cstheme="minorHAnsi"/>
          <w:color w:val="4A4A4A"/>
          <w:sz w:val="21"/>
          <w:szCs w:val="21"/>
          <w:lang w:val="en-US" w:eastAsia="en-US"/>
        </w:rPr>
        <w:t xml:space="preserve"> for each country to conserve at least 17 percent of terrestrial and inland water areas</w:t>
      </w:r>
      <w:r w:rsidR="00364EFB" w:rsidRPr="00964BE5">
        <w:rPr>
          <w:rFonts w:eastAsia="Calibri" w:cstheme="minorHAnsi"/>
          <w:color w:val="4A4A4A"/>
          <w:sz w:val="21"/>
          <w:szCs w:val="21"/>
          <w:lang w:val="en-US" w:eastAsia="en-US"/>
        </w:rPr>
        <w:t xml:space="preserve"> by </w:t>
      </w:r>
      <w:r w:rsidR="00CE4403" w:rsidRPr="00964BE5">
        <w:rPr>
          <w:rFonts w:eastAsia="Calibri" w:cstheme="minorHAnsi"/>
          <w:color w:val="4A4A4A"/>
          <w:sz w:val="21"/>
          <w:szCs w:val="21"/>
          <w:lang w:val="en-US" w:eastAsia="en-US"/>
        </w:rPr>
        <w:t>2020</w:t>
      </w:r>
      <w:r w:rsidR="007209E2" w:rsidRPr="00964BE5">
        <w:rPr>
          <w:rFonts w:eastAsia="Calibri" w:cstheme="minorHAnsi"/>
          <w:color w:val="4A4A4A"/>
          <w:sz w:val="21"/>
          <w:szCs w:val="21"/>
          <w:lang w:val="en-US" w:eastAsia="en-US"/>
        </w:rPr>
        <w:t>.</w:t>
      </w:r>
      <w:r w:rsidR="007209E2" w:rsidRPr="00272ABC">
        <w:rPr>
          <w:rFonts w:eastAsia="Calibri" w:cstheme="minorHAnsi"/>
          <w:color w:val="4A4A4A"/>
          <w:sz w:val="21"/>
          <w:szCs w:val="21"/>
          <w:lang w:val="en-US" w:eastAsia="en-US"/>
        </w:rPr>
        <w:t xml:space="preserve"> It is </w:t>
      </w:r>
      <w:r w:rsidR="00CE4403" w:rsidRPr="00272ABC">
        <w:rPr>
          <w:rFonts w:eastAsia="Calibri" w:cstheme="minorHAnsi"/>
          <w:color w:val="4A4A4A"/>
          <w:sz w:val="21"/>
          <w:szCs w:val="21"/>
          <w:lang w:val="en-US" w:eastAsia="en-US"/>
        </w:rPr>
        <w:t xml:space="preserve">now </w:t>
      </w:r>
      <w:r w:rsidR="00207A98" w:rsidRPr="00272ABC">
        <w:rPr>
          <w:rFonts w:eastAsia="Calibri" w:cstheme="minorHAnsi"/>
          <w:color w:val="4A4A4A"/>
          <w:sz w:val="21"/>
          <w:szCs w:val="21"/>
          <w:lang w:val="en-US" w:eastAsia="en-US"/>
        </w:rPr>
        <w:t>associated with T</w:t>
      </w:r>
      <w:r w:rsidR="00CE4403" w:rsidRPr="00272ABC">
        <w:rPr>
          <w:rFonts w:eastAsia="Calibri" w:cstheme="minorHAnsi"/>
          <w:color w:val="4A4A4A"/>
          <w:sz w:val="21"/>
          <w:szCs w:val="21"/>
          <w:lang w:val="en-US" w:eastAsia="en-US"/>
        </w:rPr>
        <w:t xml:space="preserve">arget </w:t>
      </w:r>
      <w:r w:rsidR="00C87C75" w:rsidRPr="00272ABC">
        <w:rPr>
          <w:rFonts w:eastAsia="Calibri" w:cstheme="minorHAnsi"/>
          <w:color w:val="4A4A4A"/>
          <w:sz w:val="21"/>
          <w:szCs w:val="21"/>
          <w:lang w:val="en-US" w:eastAsia="en-US"/>
        </w:rPr>
        <w:t xml:space="preserve">3 </w:t>
      </w:r>
      <w:r w:rsidR="00D439A7" w:rsidRPr="00272ABC">
        <w:rPr>
          <w:rFonts w:eastAsia="Calibri" w:cstheme="minorHAnsi"/>
          <w:color w:val="4A4A4A"/>
          <w:sz w:val="21"/>
          <w:szCs w:val="21"/>
          <w:lang w:val="en-US" w:eastAsia="en-US"/>
        </w:rPr>
        <w:t>(</w:t>
      </w:r>
      <w:r w:rsidR="00C87C75" w:rsidRPr="00272ABC">
        <w:rPr>
          <w:rFonts w:eastAsia="Calibri" w:cstheme="minorHAnsi"/>
          <w:color w:val="4A4A4A"/>
          <w:sz w:val="21"/>
          <w:szCs w:val="21"/>
          <w:lang w:val="en-US" w:eastAsia="en-US"/>
        </w:rPr>
        <w:t xml:space="preserve">“30x30”) </w:t>
      </w:r>
      <w:r w:rsidR="00207A98" w:rsidRPr="00272ABC">
        <w:rPr>
          <w:rFonts w:eastAsia="Calibri" w:cstheme="minorHAnsi"/>
          <w:color w:val="4A4A4A"/>
          <w:sz w:val="21"/>
          <w:szCs w:val="21"/>
          <w:lang w:val="en-US" w:eastAsia="en-US"/>
        </w:rPr>
        <w:t xml:space="preserve">of </w:t>
      </w:r>
      <w:r w:rsidR="00CE4403" w:rsidRPr="00272ABC">
        <w:rPr>
          <w:rFonts w:eastAsia="Calibri" w:cstheme="minorHAnsi"/>
          <w:color w:val="4A4A4A"/>
          <w:sz w:val="21"/>
          <w:szCs w:val="21"/>
          <w:lang w:val="en-US" w:eastAsia="en-US"/>
        </w:rPr>
        <w:t xml:space="preserve">the </w:t>
      </w:r>
      <w:r w:rsidR="00C87C75" w:rsidRPr="00272ABC">
        <w:rPr>
          <w:rFonts w:eastAsia="Calibri" w:cstheme="minorHAnsi"/>
          <w:color w:val="4A4A4A"/>
          <w:sz w:val="21"/>
          <w:szCs w:val="21"/>
          <w:lang w:val="en-US" w:eastAsia="en-US"/>
        </w:rPr>
        <w:t>Kunming</w:t>
      </w:r>
      <w:r w:rsidR="00CE4403" w:rsidRPr="00272ABC">
        <w:rPr>
          <w:rFonts w:eastAsia="Calibri" w:cstheme="minorHAnsi"/>
          <w:color w:val="4A4A4A"/>
          <w:sz w:val="21"/>
          <w:szCs w:val="21"/>
          <w:lang w:val="en-US" w:eastAsia="en-US"/>
        </w:rPr>
        <w:t>-Montreal Global Biodiversity Framework (GBF)</w:t>
      </w:r>
      <w:r w:rsidR="00207A98" w:rsidRPr="00272ABC">
        <w:rPr>
          <w:rFonts w:eastAsia="Calibri" w:cstheme="minorHAnsi"/>
          <w:color w:val="4A4A4A"/>
          <w:sz w:val="21"/>
          <w:szCs w:val="21"/>
          <w:lang w:val="en-US" w:eastAsia="en-US"/>
        </w:rPr>
        <w:t>,</w:t>
      </w:r>
      <w:r w:rsidR="00C87C75" w:rsidRPr="00272ABC">
        <w:rPr>
          <w:rFonts w:eastAsia="Calibri" w:cstheme="minorHAnsi"/>
          <w:color w:val="4A4A4A"/>
          <w:sz w:val="21"/>
          <w:szCs w:val="21"/>
          <w:lang w:val="en-US" w:eastAsia="en-US"/>
        </w:rPr>
        <w:t xml:space="preserve"> which </w:t>
      </w:r>
      <w:r w:rsidR="00D81ABE" w:rsidRPr="00272ABC">
        <w:rPr>
          <w:rFonts w:eastAsia="Calibri" w:cstheme="minorHAnsi"/>
          <w:color w:val="4A4A4A"/>
          <w:sz w:val="21"/>
          <w:szCs w:val="21"/>
          <w:lang w:val="en-US" w:eastAsia="en-US"/>
        </w:rPr>
        <w:t xml:space="preserve">calls for </w:t>
      </w:r>
      <w:r w:rsidR="00207A98" w:rsidRPr="00272ABC">
        <w:rPr>
          <w:rFonts w:eastAsia="Calibri" w:cstheme="minorHAnsi"/>
          <w:color w:val="4A4A4A"/>
          <w:sz w:val="21"/>
          <w:szCs w:val="21"/>
          <w:lang w:val="en-US" w:eastAsia="en-US"/>
        </w:rPr>
        <w:t xml:space="preserve">a minimum </w:t>
      </w:r>
      <w:r w:rsidR="00FB0B2E" w:rsidRPr="00272ABC">
        <w:rPr>
          <w:rFonts w:eastAsia="Calibri" w:cstheme="minorHAnsi"/>
          <w:color w:val="4A4A4A"/>
          <w:sz w:val="21"/>
          <w:szCs w:val="21"/>
          <w:lang w:val="en-US" w:eastAsia="en-US"/>
        </w:rPr>
        <w:t xml:space="preserve">of </w:t>
      </w:r>
      <w:r w:rsidR="00D81ABE" w:rsidRPr="00272ABC">
        <w:rPr>
          <w:rFonts w:eastAsia="Calibri" w:cstheme="minorHAnsi"/>
          <w:color w:val="4A4A4A"/>
          <w:sz w:val="21"/>
          <w:szCs w:val="21"/>
          <w:lang w:val="en-US" w:eastAsia="en-US"/>
        </w:rPr>
        <w:t>30</w:t>
      </w:r>
      <w:r w:rsidR="00FB0B2E" w:rsidRPr="00272ABC">
        <w:rPr>
          <w:rFonts w:eastAsia="Calibri" w:cstheme="minorHAnsi"/>
          <w:color w:val="4A4A4A"/>
          <w:sz w:val="21"/>
          <w:szCs w:val="21"/>
          <w:lang w:val="en-US" w:eastAsia="en-US"/>
        </w:rPr>
        <w:t xml:space="preserve"> percent </w:t>
      </w:r>
      <w:r w:rsidR="00D81ABE" w:rsidRPr="00272ABC">
        <w:rPr>
          <w:rFonts w:eastAsia="Calibri" w:cstheme="minorHAnsi"/>
          <w:color w:val="4A4A4A"/>
          <w:sz w:val="21"/>
          <w:szCs w:val="21"/>
          <w:lang w:val="en-US" w:eastAsia="en-US"/>
        </w:rPr>
        <w:t>of land</w:t>
      </w:r>
      <w:r w:rsidR="00501D74" w:rsidRPr="00272ABC">
        <w:rPr>
          <w:rFonts w:eastAsia="Calibri" w:cstheme="minorHAnsi"/>
          <w:color w:val="4A4A4A"/>
          <w:sz w:val="21"/>
          <w:szCs w:val="21"/>
          <w:lang w:val="en-US" w:eastAsia="en-US"/>
        </w:rPr>
        <w:t xml:space="preserve"> </w:t>
      </w:r>
      <w:r w:rsidR="00FB0B2E" w:rsidRPr="00272ABC">
        <w:rPr>
          <w:rFonts w:eastAsia="Calibri" w:cstheme="minorHAnsi"/>
          <w:color w:val="4A4A4A"/>
          <w:sz w:val="21"/>
          <w:szCs w:val="21"/>
          <w:lang w:val="en-US" w:eastAsia="en-US"/>
        </w:rPr>
        <w:t xml:space="preserve">to be </w:t>
      </w:r>
      <w:r w:rsidR="00501D74" w:rsidRPr="00272ABC">
        <w:rPr>
          <w:rFonts w:eastAsia="Calibri" w:cstheme="minorHAnsi"/>
          <w:color w:val="4A4A4A"/>
          <w:sz w:val="21"/>
          <w:szCs w:val="21"/>
          <w:lang w:val="en-US" w:eastAsia="en-US"/>
        </w:rPr>
        <w:t>protected and conserved by 2030</w:t>
      </w:r>
      <w:r w:rsidRPr="00272ABC">
        <w:rPr>
          <w:rFonts w:eastAsia="Calibri" w:cstheme="minorHAnsi"/>
          <w:color w:val="4A4A4A"/>
          <w:sz w:val="21"/>
          <w:szCs w:val="21"/>
          <w:lang w:val="en-US" w:eastAsia="en-US"/>
        </w:rPr>
        <w:t xml:space="preserve">. </w:t>
      </w:r>
    </w:p>
    <w:p w14:paraId="70B42FD9" w14:textId="0960E3F2" w:rsidR="008D1DD3" w:rsidRPr="00E43CC4" w:rsidRDefault="008D1DD3" w:rsidP="008D1DD3">
      <w:pPr>
        <w:numPr>
          <w:ilvl w:val="0"/>
          <w:numId w:val="6"/>
        </w:num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The fourth sub-indicator looks at the forest area that is under a </w:t>
      </w:r>
      <w:r w:rsidR="008D1A7D" w:rsidRPr="00E43CC4">
        <w:rPr>
          <w:rFonts w:eastAsia="Calibri" w:cstheme="minorHAnsi"/>
          <w:color w:val="4A4A4A"/>
          <w:sz w:val="21"/>
          <w:szCs w:val="21"/>
          <w:lang w:val="en-US" w:eastAsia="en-US"/>
        </w:rPr>
        <w:t>long</w:t>
      </w:r>
      <w:r w:rsidR="008D1A7D">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term forest management plan. The existence of a documented forest management plan is the basis for long term and sustainable management of </w:t>
      </w:r>
      <w:proofErr w:type="gramStart"/>
      <w:r w:rsidRPr="00E43CC4">
        <w:rPr>
          <w:rFonts w:eastAsia="Calibri" w:cstheme="minorHAnsi"/>
          <w:color w:val="4A4A4A"/>
          <w:sz w:val="21"/>
          <w:szCs w:val="21"/>
          <w:lang w:val="en-US" w:eastAsia="en-US"/>
        </w:rPr>
        <w:t>the forest</w:t>
      </w:r>
      <w:proofErr w:type="gramEnd"/>
      <w:r w:rsidRPr="00E43CC4">
        <w:rPr>
          <w:rFonts w:eastAsia="Calibri" w:cstheme="minorHAnsi"/>
          <w:color w:val="4A4A4A"/>
          <w:sz w:val="21"/>
          <w:szCs w:val="21"/>
          <w:lang w:val="en-US" w:eastAsia="en-US"/>
        </w:rPr>
        <w:t xml:space="preserve"> resources for a variety of management objectives</w:t>
      </w:r>
      <w:r w:rsidR="00745640">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w:t>
      </w:r>
      <w:r w:rsidR="002E7822">
        <w:rPr>
          <w:rFonts w:eastAsia="Calibri" w:cstheme="minorHAnsi"/>
          <w:color w:val="4A4A4A"/>
          <w:sz w:val="21"/>
          <w:szCs w:val="21"/>
          <w:lang w:val="en-US" w:eastAsia="en-US"/>
        </w:rPr>
        <w:t>for instance</w:t>
      </w:r>
      <w:r w:rsidR="00EF1CB3">
        <w:rPr>
          <w:rFonts w:eastAsia="Calibri" w:cstheme="minorHAnsi"/>
          <w:color w:val="4A4A4A"/>
          <w:sz w:val="21"/>
          <w:szCs w:val="21"/>
          <w:lang w:val="en-US" w:eastAsia="en-US"/>
        </w:rPr>
        <w:t xml:space="preserve"> any combination of </w:t>
      </w:r>
      <w:r w:rsidR="002E7822">
        <w:rPr>
          <w:rFonts w:eastAsia="Calibri" w:cstheme="minorHAnsi"/>
          <w:color w:val="4A4A4A"/>
          <w:sz w:val="21"/>
          <w:szCs w:val="21"/>
          <w:lang w:val="en-US" w:eastAsia="en-US"/>
        </w:rPr>
        <w:t>development of</w:t>
      </w:r>
      <w:r w:rsidRPr="00E43CC4">
        <w:rPr>
          <w:rFonts w:eastAsia="Calibri" w:cstheme="minorHAnsi"/>
          <w:color w:val="4A4A4A"/>
          <w:sz w:val="21"/>
          <w:szCs w:val="21"/>
          <w:lang w:val="en-US" w:eastAsia="en-US"/>
        </w:rPr>
        <w:t xml:space="preserve"> wood and non-wood forest products, protection of soil and water, biodiversity conservation, social and cultural use. An increasing area under forest management plan</w:t>
      </w:r>
      <w:r w:rsidR="002E7822">
        <w:rPr>
          <w:rFonts w:eastAsia="Calibri" w:cstheme="minorHAnsi"/>
          <w:color w:val="4A4A4A"/>
          <w:sz w:val="21"/>
          <w:szCs w:val="21"/>
          <w:lang w:val="en-US" w:eastAsia="en-US"/>
        </w:rPr>
        <w:t>ning</w:t>
      </w:r>
      <w:r w:rsidRPr="00E43CC4">
        <w:rPr>
          <w:rFonts w:eastAsia="Calibri" w:cstheme="minorHAnsi"/>
          <w:color w:val="4A4A4A"/>
          <w:sz w:val="21"/>
          <w:szCs w:val="21"/>
          <w:lang w:val="en-US" w:eastAsia="en-US"/>
        </w:rPr>
        <w:t xml:space="preserve"> </w:t>
      </w:r>
      <w:r w:rsidR="005F529B">
        <w:rPr>
          <w:rFonts w:eastAsia="Calibri" w:cstheme="minorHAnsi"/>
          <w:color w:val="4A4A4A"/>
          <w:sz w:val="21"/>
          <w:szCs w:val="21"/>
          <w:lang w:val="en-US" w:eastAsia="en-US"/>
        </w:rPr>
        <w:t>can</w:t>
      </w:r>
      <w:r w:rsidRPr="00E43CC4">
        <w:rPr>
          <w:rFonts w:eastAsia="Calibri" w:cstheme="minorHAnsi"/>
          <w:color w:val="4A4A4A"/>
          <w:sz w:val="21"/>
          <w:szCs w:val="21"/>
          <w:lang w:val="en-US" w:eastAsia="en-US"/>
        </w:rPr>
        <w:t xml:space="preserve"> therefore </w:t>
      </w:r>
      <w:r w:rsidR="005F529B">
        <w:rPr>
          <w:rFonts w:eastAsia="Calibri" w:cstheme="minorHAnsi"/>
          <w:color w:val="4A4A4A"/>
          <w:sz w:val="21"/>
          <w:szCs w:val="21"/>
          <w:lang w:val="en-US" w:eastAsia="en-US"/>
        </w:rPr>
        <w:t xml:space="preserve">be </w:t>
      </w:r>
      <w:r w:rsidRPr="00E43CC4">
        <w:rPr>
          <w:rFonts w:eastAsia="Calibri" w:cstheme="minorHAnsi"/>
          <w:color w:val="4A4A4A"/>
          <w:sz w:val="21"/>
          <w:szCs w:val="21"/>
          <w:lang w:val="en-US" w:eastAsia="en-US"/>
        </w:rPr>
        <w:t>an indicat</w:t>
      </w:r>
      <w:r w:rsidR="005F529B">
        <w:rPr>
          <w:rFonts w:eastAsia="Calibri" w:cstheme="minorHAnsi"/>
          <w:color w:val="4A4A4A"/>
          <w:sz w:val="21"/>
          <w:szCs w:val="21"/>
          <w:lang w:val="en-US" w:eastAsia="en-US"/>
        </w:rPr>
        <w:t>ion</w:t>
      </w:r>
      <w:r w:rsidRPr="00E43CC4">
        <w:rPr>
          <w:rFonts w:eastAsia="Calibri" w:cstheme="minorHAnsi"/>
          <w:color w:val="4A4A4A"/>
          <w:sz w:val="21"/>
          <w:szCs w:val="21"/>
          <w:lang w:val="en-US" w:eastAsia="en-US"/>
        </w:rPr>
        <w:t xml:space="preserve"> of progress towards sustainable forest management. </w:t>
      </w:r>
    </w:p>
    <w:p w14:paraId="4B9C92B4" w14:textId="1D8B48B9" w:rsidR="008D1DD3" w:rsidRPr="00E43CC4" w:rsidRDefault="008D1DD3" w:rsidP="002449B6">
      <w:pPr>
        <w:numPr>
          <w:ilvl w:val="0"/>
          <w:numId w:val="6"/>
        </w:num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The fifth sub-indicator is the forest area that is certified by an independently verified forest management certification scheme. Such certification schemes</w:t>
      </w:r>
      <w:r w:rsidR="00AA4762">
        <w:rPr>
          <w:rFonts w:eastAsia="Calibri" w:cstheme="minorHAnsi"/>
          <w:color w:val="4A4A4A"/>
          <w:sz w:val="21"/>
          <w:szCs w:val="21"/>
          <w:lang w:val="en-US" w:eastAsia="en-US"/>
        </w:rPr>
        <w:t xml:space="preserve"> usually</w:t>
      </w:r>
      <w:r w:rsidRPr="00E43CC4">
        <w:rPr>
          <w:rFonts w:eastAsia="Calibri" w:cstheme="minorHAnsi"/>
          <w:color w:val="4A4A4A"/>
          <w:sz w:val="21"/>
          <w:szCs w:val="21"/>
          <w:lang w:val="en-US" w:eastAsia="en-US"/>
        </w:rPr>
        <w:t xml:space="preserve"> </w:t>
      </w:r>
      <w:proofErr w:type="gramStart"/>
      <w:r w:rsidRPr="00E43CC4">
        <w:rPr>
          <w:rFonts w:eastAsia="Calibri" w:cstheme="minorHAnsi"/>
          <w:color w:val="4A4A4A"/>
          <w:sz w:val="21"/>
          <w:szCs w:val="21"/>
          <w:lang w:val="en-US" w:eastAsia="en-US"/>
        </w:rPr>
        <w:t>apply</w:t>
      </w:r>
      <w:proofErr w:type="gramEnd"/>
      <w:r w:rsidRPr="00E43CC4">
        <w:rPr>
          <w:rFonts w:eastAsia="Calibri" w:cstheme="minorHAnsi"/>
          <w:color w:val="4A4A4A"/>
          <w:sz w:val="21"/>
          <w:szCs w:val="21"/>
          <w:lang w:val="en-US" w:eastAsia="en-US"/>
        </w:rPr>
        <w:t xml:space="preserve"> </w:t>
      </w:r>
      <w:r w:rsidR="00AA4762">
        <w:rPr>
          <w:rFonts w:eastAsia="Calibri" w:cstheme="minorHAnsi"/>
          <w:color w:val="4A4A4A"/>
          <w:sz w:val="21"/>
          <w:szCs w:val="21"/>
          <w:lang w:val="en-US" w:eastAsia="en-US"/>
        </w:rPr>
        <w:t xml:space="preserve">higher </w:t>
      </w:r>
      <w:r w:rsidRPr="00E43CC4">
        <w:rPr>
          <w:rFonts w:eastAsia="Calibri" w:cstheme="minorHAnsi"/>
          <w:color w:val="4A4A4A"/>
          <w:sz w:val="21"/>
          <w:szCs w:val="21"/>
          <w:lang w:val="en-US" w:eastAsia="en-US"/>
        </w:rPr>
        <w:t>standards than those established by countries’ own normative frameworks, and compliance is verified by an independent and accredited certifier. An increase in certified forest area therefore provides an additional indication of progress towards sustainable forest management. It should</w:t>
      </w:r>
      <w:r w:rsidR="0036675E">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however</w:t>
      </w:r>
      <w:r w:rsidR="0036675E">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be noted that there are significant areas of sustainably managed forest </w:t>
      </w:r>
      <w:r w:rsidR="00BA7689">
        <w:rPr>
          <w:rFonts w:eastAsia="Calibri" w:cstheme="minorHAnsi"/>
          <w:color w:val="4A4A4A"/>
          <w:sz w:val="21"/>
          <w:szCs w:val="21"/>
          <w:lang w:val="en-US" w:eastAsia="en-US"/>
        </w:rPr>
        <w:t>that</w:t>
      </w:r>
      <w:r w:rsidRPr="00E43CC4">
        <w:rPr>
          <w:rFonts w:eastAsia="Calibri" w:cstheme="minorHAnsi"/>
          <w:color w:val="4A4A4A"/>
          <w:sz w:val="21"/>
          <w:szCs w:val="21"/>
          <w:lang w:val="en-US" w:eastAsia="en-US"/>
        </w:rPr>
        <w:t xml:space="preserve"> are not certified, either because their owners have chosen not to seek certification (which is voluntary and market-based) or because no credible or affordable certification scheme is in place for that area. </w:t>
      </w:r>
    </w:p>
    <w:p w14:paraId="18EA7892" w14:textId="77777777" w:rsidR="00576CFA" w:rsidRPr="00E43CC4" w:rsidRDefault="00576CFA" w:rsidP="00576CFA">
      <w:pPr>
        <w:pStyle w:val="MText"/>
        <w:rPr>
          <w:rFonts w:cstheme="minorHAnsi"/>
        </w:rPr>
      </w:pPr>
    </w:p>
    <w:p w14:paraId="2529B069" w14:textId="618DCD10" w:rsidR="00E1050F" w:rsidRPr="00E43CC4" w:rsidRDefault="00E1050F" w:rsidP="00557826">
      <w:pPr>
        <w:pStyle w:val="MHeader2"/>
        <w:keepNext/>
        <w:rPr>
          <w:rFonts w:cstheme="minorHAnsi"/>
        </w:rPr>
      </w:pPr>
      <w:r w:rsidRPr="00E43CC4">
        <w:rPr>
          <w:rFonts w:cstheme="minorHAnsi"/>
        </w:rPr>
        <w:t xml:space="preserve">4.b. Comment and limitations </w:t>
      </w:r>
      <w:r>
        <w:rPr>
          <w:color w:val="B4B4B4"/>
          <w:sz w:val="20"/>
        </w:rPr>
        <w:t>(REC_USE_LIM)</w:t>
      </w:r>
    </w:p>
    <w:p w14:paraId="5AA25CA8" w14:textId="5F0D012C"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The five sub-indicators chosen to illustrate progress towards sustainable forest management do not fully cover all aspects of sustainable forest management. </w:t>
      </w:r>
      <w:proofErr w:type="gramStart"/>
      <w:r w:rsidRPr="00E43CC4">
        <w:rPr>
          <w:rFonts w:eastAsia="Calibri" w:cstheme="minorHAnsi"/>
          <w:color w:val="4A4A4A"/>
          <w:sz w:val="21"/>
          <w:szCs w:val="21"/>
          <w:lang w:val="en-US" w:eastAsia="en-US"/>
        </w:rPr>
        <w:t>In particular, social</w:t>
      </w:r>
      <w:proofErr w:type="gramEnd"/>
      <w:r w:rsidRPr="00E43CC4">
        <w:rPr>
          <w:rFonts w:eastAsia="Calibri" w:cstheme="minorHAnsi"/>
          <w:color w:val="4A4A4A"/>
          <w:sz w:val="21"/>
          <w:szCs w:val="21"/>
          <w:lang w:val="en-US" w:eastAsia="en-US"/>
        </w:rPr>
        <w:t xml:space="preserve"> and economic aspects are</w:t>
      </w:r>
      <w:r w:rsidR="006A6A43">
        <w:rPr>
          <w:rFonts w:eastAsia="Calibri" w:cstheme="minorHAnsi"/>
          <w:color w:val="4A4A4A"/>
          <w:sz w:val="21"/>
          <w:szCs w:val="21"/>
          <w:lang w:val="en-US" w:eastAsia="en-US"/>
        </w:rPr>
        <w:t xml:space="preserve"> only</w:t>
      </w:r>
      <w:r w:rsidRPr="00E43CC4">
        <w:rPr>
          <w:rFonts w:eastAsia="Calibri" w:cstheme="minorHAnsi"/>
          <w:color w:val="4A4A4A"/>
          <w:sz w:val="21"/>
          <w:szCs w:val="21"/>
          <w:lang w:val="en-US" w:eastAsia="en-US"/>
        </w:rPr>
        <w:t xml:space="preserve"> </w:t>
      </w:r>
      <w:r w:rsidR="006A6A43">
        <w:rPr>
          <w:rFonts w:eastAsia="Calibri" w:cstheme="minorHAnsi"/>
          <w:color w:val="4A4A4A"/>
          <w:sz w:val="21"/>
          <w:szCs w:val="21"/>
          <w:lang w:val="en-US" w:eastAsia="en-US"/>
        </w:rPr>
        <w:t>captured indirectly by</w:t>
      </w:r>
      <w:r w:rsidRPr="00E43CC4">
        <w:rPr>
          <w:rFonts w:eastAsia="Calibri" w:cstheme="minorHAnsi"/>
          <w:color w:val="4A4A4A"/>
          <w:sz w:val="21"/>
          <w:szCs w:val="21"/>
          <w:lang w:val="en-US" w:eastAsia="en-US"/>
        </w:rPr>
        <w:t xml:space="preserve"> the sub-indicators on areas under sustainable forest management plans. Furthermore, as trends are calculated using only those countries which have complete</w:t>
      </w:r>
      <w:r w:rsidR="00F231B0">
        <w:rPr>
          <w:rFonts w:eastAsia="Calibri" w:cstheme="minorHAnsi"/>
          <w:color w:val="4A4A4A"/>
          <w:sz w:val="21"/>
          <w:szCs w:val="21"/>
          <w:lang w:val="en-US" w:eastAsia="en-US"/>
        </w:rPr>
        <w:t xml:space="preserve"> data</w:t>
      </w:r>
      <w:r w:rsidRPr="00E43CC4">
        <w:rPr>
          <w:rFonts w:eastAsia="Calibri" w:cstheme="minorHAnsi"/>
          <w:color w:val="4A4A4A"/>
          <w:sz w:val="21"/>
          <w:szCs w:val="21"/>
          <w:lang w:val="en-US" w:eastAsia="en-US"/>
        </w:rPr>
        <w:t xml:space="preserve"> time series, different sub-indicators may reflect different sets of countries. </w:t>
      </w:r>
    </w:p>
    <w:p w14:paraId="21C992B8"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p>
    <w:p w14:paraId="4D0E66B9" w14:textId="77777777" w:rsidR="008D1DD3" w:rsidRPr="00E43CC4" w:rsidRDefault="008D1DD3" w:rsidP="008D1DD3">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While the dashboard illustrates the progress on the individual sub-indicators, there is no weighting of the relative importance of the sub-indicators. </w:t>
      </w:r>
    </w:p>
    <w:p w14:paraId="398C00AE" w14:textId="77777777" w:rsidR="00EC2915" w:rsidRPr="00E43CC4" w:rsidRDefault="00EC2915" w:rsidP="00576CFA">
      <w:pPr>
        <w:pStyle w:val="MText"/>
        <w:rPr>
          <w:rFonts w:cstheme="minorHAnsi"/>
        </w:rPr>
      </w:pPr>
    </w:p>
    <w:p w14:paraId="79EEEE38" w14:textId="75AB172D" w:rsidR="00E1050F" w:rsidRPr="00E43CC4" w:rsidRDefault="00E1050F" w:rsidP="00663DF6">
      <w:pPr>
        <w:pStyle w:val="MHeader2"/>
        <w:keepNext/>
        <w:rPr>
          <w:rFonts w:cstheme="minorHAnsi"/>
        </w:rPr>
      </w:pPr>
      <w:r w:rsidRPr="00E43CC4">
        <w:rPr>
          <w:rFonts w:cstheme="minorHAnsi"/>
        </w:rPr>
        <w:lastRenderedPageBreak/>
        <w:t xml:space="preserve">4.c. Method of computation </w:t>
      </w:r>
      <w:r>
        <w:rPr>
          <w:color w:val="B4B4B4"/>
          <w:sz w:val="20"/>
        </w:rPr>
        <w:t>(DATA_COMP)</w:t>
      </w:r>
    </w:p>
    <w:p w14:paraId="4180FB61" w14:textId="4F037A2B" w:rsidR="000E42CA"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National data on forest </w:t>
      </w:r>
      <w:proofErr w:type="gramStart"/>
      <w:r w:rsidRPr="00E43CC4">
        <w:rPr>
          <w:rFonts w:eastAsia="Calibri" w:cstheme="minorHAnsi"/>
          <w:color w:val="4A4A4A"/>
          <w:sz w:val="21"/>
          <w:szCs w:val="21"/>
          <w:lang w:val="en-US" w:eastAsia="en-US"/>
        </w:rPr>
        <w:t>area</w:t>
      </w:r>
      <w:proofErr w:type="gramEnd"/>
      <w:r w:rsidRPr="00E43CC4">
        <w:rPr>
          <w:rFonts w:eastAsia="Calibri" w:cstheme="minorHAnsi"/>
          <w:color w:val="4A4A4A"/>
          <w:sz w:val="21"/>
          <w:szCs w:val="21"/>
          <w:lang w:val="en-US" w:eastAsia="en-US"/>
        </w:rPr>
        <w:t xml:space="preserve">, biomass stock, forest </w:t>
      </w:r>
      <w:proofErr w:type="gramStart"/>
      <w:r w:rsidRPr="00E43CC4">
        <w:rPr>
          <w:rFonts w:eastAsia="Calibri" w:cstheme="minorHAnsi"/>
          <w:color w:val="4A4A4A"/>
          <w:sz w:val="21"/>
          <w:szCs w:val="21"/>
          <w:lang w:val="en-US" w:eastAsia="en-US"/>
        </w:rPr>
        <w:t>area</w:t>
      </w:r>
      <w:proofErr w:type="gramEnd"/>
      <w:r w:rsidRPr="00E43CC4">
        <w:rPr>
          <w:rFonts w:eastAsia="Calibri" w:cstheme="minorHAnsi"/>
          <w:color w:val="4A4A4A"/>
          <w:sz w:val="21"/>
          <w:szCs w:val="21"/>
          <w:lang w:val="en-US" w:eastAsia="en-US"/>
        </w:rPr>
        <w:t xml:space="preserve"> within protected areas, and forest </w:t>
      </w:r>
      <w:proofErr w:type="gramStart"/>
      <w:r w:rsidRPr="00E43CC4">
        <w:rPr>
          <w:rFonts w:eastAsia="Calibri" w:cstheme="minorHAnsi"/>
          <w:color w:val="4A4A4A"/>
          <w:sz w:val="21"/>
          <w:szCs w:val="21"/>
          <w:lang w:val="en-US" w:eastAsia="en-US"/>
        </w:rPr>
        <w:t>area</w:t>
      </w:r>
      <w:proofErr w:type="gramEnd"/>
      <w:r w:rsidRPr="00E43CC4">
        <w:rPr>
          <w:rFonts w:eastAsia="Calibri" w:cstheme="minorHAnsi"/>
          <w:color w:val="4A4A4A"/>
          <w:sz w:val="21"/>
          <w:szCs w:val="21"/>
          <w:lang w:val="en-US" w:eastAsia="en-US"/>
        </w:rPr>
        <w:t xml:space="preserve"> under </w:t>
      </w:r>
      <w:r w:rsidR="007B74F0">
        <w:rPr>
          <w:rFonts w:eastAsia="Calibri" w:cstheme="minorHAnsi"/>
          <w:color w:val="4A4A4A"/>
          <w:sz w:val="21"/>
          <w:szCs w:val="21"/>
          <w:lang w:val="en-US" w:eastAsia="en-US"/>
        </w:rPr>
        <w:t xml:space="preserve">a long-term </w:t>
      </w:r>
      <w:r w:rsidRPr="00E43CC4">
        <w:rPr>
          <w:rFonts w:eastAsia="Calibri" w:cstheme="minorHAnsi"/>
          <w:color w:val="4A4A4A"/>
          <w:sz w:val="21"/>
          <w:szCs w:val="21"/>
          <w:lang w:val="en-US" w:eastAsia="en-US"/>
        </w:rPr>
        <w:t xml:space="preserve">management plan are reported directly by countries to FAO for pre-established reference years. Based on the </w:t>
      </w:r>
      <w:proofErr w:type="gramStart"/>
      <w:r w:rsidRPr="00E43CC4">
        <w:rPr>
          <w:rFonts w:eastAsia="Calibri" w:cstheme="minorHAnsi"/>
          <w:color w:val="4A4A4A"/>
          <w:sz w:val="21"/>
          <w:szCs w:val="21"/>
          <w:lang w:val="en-US" w:eastAsia="en-US"/>
        </w:rPr>
        <w:t>country</w:t>
      </w:r>
      <w:proofErr w:type="gramEnd"/>
      <w:r w:rsidRPr="00E43CC4">
        <w:rPr>
          <w:rFonts w:eastAsia="Calibri" w:cstheme="minorHAnsi"/>
          <w:color w:val="4A4A4A"/>
          <w:sz w:val="21"/>
          <w:szCs w:val="21"/>
          <w:lang w:val="en-US" w:eastAsia="en-US"/>
        </w:rPr>
        <w:t xml:space="preserve"> reported data, FAO then makes country-level estimates of the </w:t>
      </w:r>
      <w:r w:rsidR="00ED2253">
        <w:rPr>
          <w:rFonts w:eastAsia="Calibri" w:cstheme="minorHAnsi"/>
          <w:color w:val="4A4A4A"/>
          <w:sz w:val="21"/>
          <w:szCs w:val="21"/>
          <w:lang w:val="en-US" w:eastAsia="en-US"/>
        </w:rPr>
        <w:t xml:space="preserve">annual </w:t>
      </w:r>
      <w:r w:rsidRPr="00E43CC4">
        <w:rPr>
          <w:rFonts w:eastAsia="Calibri" w:cstheme="minorHAnsi"/>
          <w:color w:val="4A4A4A"/>
          <w:sz w:val="21"/>
          <w:szCs w:val="21"/>
          <w:lang w:val="en-US" w:eastAsia="en-US"/>
        </w:rPr>
        <w:t>forest area change rate using the compound interest formula. The proportion of forest area within protected area</w:t>
      </w:r>
      <w:r w:rsidR="00C16FB6">
        <w:rPr>
          <w:rFonts w:eastAsia="Calibri" w:cstheme="minorHAnsi"/>
          <w:color w:val="4A4A4A"/>
          <w:sz w:val="21"/>
          <w:szCs w:val="21"/>
          <w:lang w:val="en-US" w:eastAsia="en-US"/>
        </w:rPr>
        <w:t>s</w:t>
      </w:r>
      <w:r w:rsidRPr="00E43CC4">
        <w:rPr>
          <w:rFonts w:eastAsia="Calibri" w:cstheme="minorHAnsi"/>
          <w:color w:val="4A4A4A"/>
          <w:sz w:val="21"/>
          <w:szCs w:val="21"/>
          <w:lang w:val="en-US" w:eastAsia="en-US"/>
        </w:rPr>
        <w:t xml:space="preserve"> and under</w:t>
      </w:r>
      <w:r w:rsidR="00C16FB6">
        <w:rPr>
          <w:rFonts w:eastAsia="Calibri" w:cstheme="minorHAnsi"/>
          <w:color w:val="4A4A4A"/>
          <w:sz w:val="21"/>
          <w:szCs w:val="21"/>
          <w:lang w:val="en-US" w:eastAsia="en-US"/>
        </w:rPr>
        <w:t xml:space="preserve"> a</w:t>
      </w:r>
      <w:r w:rsidRPr="00E43CC4">
        <w:rPr>
          <w:rFonts w:eastAsia="Calibri" w:cstheme="minorHAnsi"/>
          <w:color w:val="4A4A4A"/>
          <w:sz w:val="21"/>
          <w:szCs w:val="21"/>
          <w:lang w:val="en-US" w:eastAsia="en-US"/>
        </w:rPr>
        <w:t xml:space="preserve"> management plan is calculated using the reported areas</w:t>
      </w:r>
      <w:r w:rsidR="00A67770">
        <w:rPr>
          <w:rFonts w:eastAsia="Calibri" w:cstheme="minorHAnsi"/>
          <w:color w:val="4A4A4A"/>
          <w:sz w:val="21"/>
          <w:szCs w:val="21"/>
          <w:lang w:val="en-US" w:eastAsia="en-US"/>
        </w:rPr>
        <w:t xml:space="preserve"> for each reference year</w:t>
      </w:r>
      <w:r w:rsidRPr="00E43CC4">
        <w:rPr>
          <w:rFonts w:eastAsia="Calibri" w:cstheme="minorHAnsi"/>
          <w:color w:val="4A4A4A"/>
          <w:sz w:val="21"/>
          <w:szCs w:val="21"/>
          <w:lang w:val="en-US" w:eastAsia="en-US"/>
        </w:rPr>
        <w:t xml:space="preserve"> and the </w:t>
      </w:r>
      <w:r w:rsidR="00A67770">
        <w:rPr>
          <w:rFonts w:eastAsia="Calibri" w:cstheme="minorHAnsi"/>
          <w:color w:val="4A4A4A"/>
          <w:sz w:val="21"/>
          <w:szCs w:val="21"/>
          <w:lang w:val="en-US" w:eastAsia="en-US"/>
        </w:rPr>
        <w:t>forest</w:t>
      </w:r>
      <w:r w:rsidRPr="00E43CC4">
        <w:rPr>
          <w:rFonts w:eastAsia="Calibri" w:cstheme="minorHAnsi"/>
          <w:color w:val="4A4A4A"/>
          <w:sz w:val="21"/>
          <w:szCs w:val="21"/>
          <w:lang w:val="en-US" w:eastAsia="en-US"/>
        </w:rPr>
        <w:t xml:space="preserve"> area </w:t>
      </w:r>
      <w:proofErr w:type="gramStart"/>
      <w:r w:rsidRPr="00E43CC4">
        <w:rPr>
          <w:rFonts w:eastAsia="Calibri" w:cstheme="minorHAnsi"/>
          <w:color w:val="4A4A4A"/>
          <w:sz w:val="21"/>
          <w:szCs w:val="21"/>
          <w:lang w:val="en-US" w:eastAsia="en-US"/>
        </w:rPr>
        <w:t>for year</w:t>
      </w:r>
      <w:proofErr w:type="gramEnd"/>
      <w:r w:rsidRPr="00E43CC4">
        <w:rPr>
          <w:rFonts w:eastAsia="Calibri" w:cstheme="minorHAnsi"/>
          <w:color w:val="4A4A4A"/>
          <w:sz w:val="21"/>
          <w:szCs w:val="21"/>
          <w:lang w:val="en-US" w:eastAsia="en-US"/>
        </w:rPr>
        <w:t xml:space="preserve"> 2015. </w:t>
      </w:r>
    </w:p>
    <w:p w14:paraId="15A63EA2" w14:textId="64D5193D"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Data on </w:t>
      </w:r>
      <w:bookmarkStart w:id="5" w:name="_Hlk887761"/>
      <w:r w:rsidRPr="00E43CC4">
        <w:rPr>
          <w:rFonts w:eastAsia="Calibri" w:cstheme="minorHAnsi"/>
          <w:color w:val="4A4A4A"/>
          <w:sz w:val="21"/>
          <w:szCs w:val="21"/>
          <w:lang w:val="en-US" w:eastAsia="en-US"/>
        </w:rPr>
        <w:t xml:space="preserve">forest </w:t>
      </w:r>
      <w:proofErr w:type="gramStart"/>
      <w:r w:rsidRPr="00E43CC4">
        <w:rPr>
          <w:rFonts w:eastAsia="Calibri" w:cstheme="minorHAnsi"/>
          <w:color w:val="4A4A4A"/>
          <w:sz w:val="21"/>
          <w:szCs w:val="21"/>
          <w:lang w:val="en-US" w:eastAsia="en-US"/>
        </w:rPr>
        <w:t>area</w:t>
      </w:r>
      <w:proofErr w:type="gramEnd"/>
      <w:r w:rsidRPr="00E43CC4">
        <w:rPr>
          <w:rFonts w:eastAsia="Calibri" w:cstheme="minorHAnsi"/>
          <w:color w:val="4A4A4A"/>
          <w:sz w:val="21"/>
          <w:szCs w:val="21"/>
          <w:lang w:val="en-US" w:eastAsia="en-US"/>
        </w:rPr>
        <w:t xml:space="preserve"> under an independently verified forest management certification scheme</w:t>
      </w:r>
      <w:bookmarkEnd w:id="5"/>
      <w:r w:rsidRPr="00E43CC4">
        <w:rPr>
          <w:rFonts w:eastAsia="Calibri" w:cstheme="minorHAnsi"/>
          <w:color w:val="4A4A4A"/>
          <w:sz w:val="21"/>
          <w:szCs w:val="21"/>
          <w:lang w:val="en-US" w:eastAsia="en-US"/>
        </w:rPr>
        <w:t xml:space="preserve"> are reported to FAO by the head offices of </w:t>
      </w:r>
      <w:r w:rsidR="0052347C">
        <w:rPr>
          <w:rFonts w:eastAsia="Calibri" w:cstheme="minorHAnsi"/>
          <w:color w:val="4A4A4A"/>
          <w:sz w:val="21"/>
          <w:szCs w:val="21"/>
          <w:lang w:val="en-US" w:eastAsia="en-US"/>
        </w:rPr>
        <w:t xml:space="preserve">the </w:t>
      </w:r>
      <w:r w:rsidRPr="00E43CC4">
        <w:rPr>
          <w:rFonts w:eastAsia="Calibri" w:cstheme="minorHAnsi"/>
          <w:color w:val="4A4A4A"/>
          <w:sz w:val="21"/>
          <w:szCs w:val="21"/>
          <w:lang w:val="en-US" w:eastAsia="en-US"/>
        </w:rPr>
        <w:t>respective forest certification scheme</w:t>
      </w:r>
      <w:r w:rsidR="0052347C">
        <w:rPr>
          <w:rFonts w:eastAsia="Calibri" w:cstheme="minorHAnsi"/>
          <w:color w:val="4A4A4A"/>
          <w:sz w:val="21"/>
          <w:szCs w:val="21"/>
          <w:lang w:val="en-US" w:eastAsia="en-US"/>
        </w:rPr>
        <w:t>s</w:t>
      </w:r>
      <w:r w:rsidRPr="00E43CC4">
        <w:rPr>
          <w:rFonts w:eastAsia="Calibri" w:cstheme="minorHAnsi"/>
          <w:color w:val="4A4A4A"/>
          <w:sz w:val="21"/>
          <w:szCs w:val="21"/>
          <w:lang w:val="en-US" w:eastAsia="en-US"/>
        </w:rPr>
        <w:t>, who jointly adjust</w:t>
      </w:r>
      <w:r w:rsidR="008767E0">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the figures to </w:t>
      </w:r>
      <w:r w:rsidR="00D658ED">
        <w:rPr>
          <w:rFonts w:eastAsia="Calibri" w:cstheme="minorHAnsi"/>
          <w:color w:val="4A4A4A"/>
          <w:sz w:val="21"/>
          <w:szCs w:val="21"/>
          <w:lang w:val="en-US" w:eastAsia="en-US"/>
        </w:rPr>
        <w:t>correct for</w:t>
      </w:r>
      <w:r w:rsidR="00D658ED"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any double counting. </w:t>
      </w:r>
    </w:p>
    <w:p w14:paraId="25BD96F5" w14:textId="77777777" w:rsidR="008D1DD3" w:rsidRPr="00E43CC4" w:rsidRDefault="008D1DD3" w:rsidP="000E2992">
      <w:pPr>
        <w:autoSpaceDE w:val="0"/>
        <w:autoSpaceDN w:val="0"/>
        <w:adjustRightInd w:val="0"/>
        <w:spacing w:after="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No dashboard traffic lights are made at country level. </w:t>
      </w:r>
    </w:p>
    <w:p w14:paraId="6A89839E" w14:textId="77777777" w:rsidR="00576CFA" w:rsidRPr="00E43CC4" w:rsidRDefault="00576CFA" w:rsidP="00576CFA">
      <w:pPr>
        <w:pStyle w:val="MText"/>
        <w:rPr>
          <w:rFonts w:cstheme="minorHAnsi"/>
        </w:rPr>
      </w:pPr>
    </w:p>
    <w:p w14:paraId="514CE3C0" w14:textId="3F3F7A53" w:rsidR="00E1050F" w:rsidRPr="00E43CC4" w:rsidRDefault="00576CFA" w:rsidP="00F719A8">
      <w:pPr>
        <w:pStyle w:val="MHeader2"/>
        <w:rPr>
          <w:rFonts w:cstheme="minorHAnsi"/>
        </w:rPr>
      </w:pPr>
      <w:r w:rsidRPr="00E43CC4">
        <w:rPr>
          <w:rFonts w:cstheme="minorHAnsi"/>
        </w:rPr>
        <w:t xml:space="preserve">4.d. Validation </w:t>
      </w:r>
      <w:r>
        <w:rPr>
          <w:color w:val="B4B4B4"/>
          <w:sz w:val="20"/>
        </w:rPr>
        <w:t>(DATA_VALIDATION)</w:t>
      </w:r>
    </w:p>
    <w:p w14:paraId="4906F7C7" w14:textId="4B6A7F29" w:rsidR="008D1A7D" w:rsidRPr="00E43CC4" w:rsidRDefault="001C7EBF" w:rsidP="000E2992">
      <w:pPr>
        <w:autoSpaceDE w:val="0"/>
        <w:autoSpaceDN w:val="0"/>
        <w:adjustRightInd w:val="0"/>
        <w:spacing w:after="0"/>
        <w:rPr>
          <w:rFonts w:eastAsia="Calibri" w:cstheme="minorHAnsi"/>
          <w:color w:val="4A4A4A"/>
          <w:sz w:val="21"/>
          <w:szCs w:val="21"/>
          <w:lang w:val="en-US" w:eastAsia="en-US"/>
        </w:rPr>
      </w:pPr>
      <w:r>
        <w:rPr>
          <w:rFonts w:eastAsia="Times New Roman" w:cstheme="minorHAnsi"/>
          <w:color w:val="4A4A4A"/>
          <w:sz w:val="21"/>
          <w:szCs w:val="21"/>
          <w:lang w:val="en-US" w:eastAsia="en-GB"/>
        </w:rPr>
        <w:t>All data submitted by countries to FRA, including the FAO estimates made in case of desk studies, are available at the FRA online platform (</w:t>
      </w:r>
      <w:hyperlink r:id="rId11" w:history="1">
        <w:r w:rsidR="004E2B2C" w:rsidRPr="00100B99">
          <w:rPr>
            <w:rStyle w:val="Hyperlink"/>
          </w:rPr>
          <w:t>https://fra-data.fao.org</w:t>
        </w:r>
      </w:hyperlink>
      <w:r w:rsidR="004E2B2C">
        <w:t xml:space="preserve">). </w:t>
      </w:r>
      <w:r>
        <w:rPr>
          <w:rFonts w:eastAsia="Times New Roman" w:cstheme="minorHAnsi"/>
          <w:color w:val="4A4A4A"/>
          <w:sz w:val="21"/>
          <w:szCs w:val="21"/>
          <w:lang w:val="en-US" w:eastAsia="en-GB"/>
        </w:rPr>
        <w:t>The platform also includes the sub-indicators for 15.2.1. A request</w:t>
      </w:r>
      <w:r w:rsidR="00E16C64">
        <w:rPr>
          <w:rFonts w:eastAsia="Times New Roman" w:cstheme="minorHAnsi"/>
          <w:color w:val="4A4A4A"/>
          <w:sz w:val="21"/>
          <w:szCs w:val="21"/>
          <w:lang w:val="en-US" w:eastAsia="en-GB"/>
        </w:rPr>
        <w:t xml:space="preserve"> for validation</w:t>
      </w:r>
      <w:r>
        <w:rPr>
          <w:rFonts w:eastAsia="Times New Roman" w:cstheme="minorHAnsi"/>
          <w:color w:val="4A4A4A"/>
          <w:sz w:val="21"/>
          <w:szCs w:val="21"/>
          <w:lang w:val="en-US" w:eastAsia="en-GB"/>
        </w:rPr>
        <w:t xml:space="preserve"> was </w:t>
      </w:r>
      <w:r w:rsidR="008D1A7D" w:rsidRPr="00E43CC4">
        <w:rPr>
          <w:rFonts w:eastAsia="Calibri" w:cstheme="minorHAnsi"/>
          <w:color w:val="4A4A4A"/>
          <w:sz w:val="21"/>
          <w:szCs w:val="21"/>
          <w:lang w:val="en-US" w:eastAsia="en-US"/>
        </w:rPr>
        <w:t xml:space="preserve">sent to the respective Head of Forestry before finalization and publishing of data. </w:t>
      </w:r>
    </w:p>
    <w:p w14:paraId="0025F830" w14:textId="235B396B" w:rsidR="00F719A8" w:rsidRPr="00957524" w:rsidRDefault="00F719A8" w:rsidP="00576CFA">
      <w:pPr>
        <w:pStyle w:val="MText"/>
        <w:rPr>
          <w:lang w:val="en-US"/>
        </w:rPr>
      </w:pPr>
    </w:p>
    <w:p w14:paraId="2CF2A343" w14:textId="0A7F0CBE" w:rsidR="00E1050F" w:rsidRPr="00E43CC4" w:rsidRDefault="00E1050F" w:rsidP="00F719A8">
      <w:pPr>
        <w:pStyle w:val="MHeader2"/>
        <w:rPr>
          <w:rFonts w:cstheme="minorHAnsi"/>
        </w:rPr>
      </w:pPr>
      <w:r w:rsidRPr="00E43CC4">
        <w:rPr>
          <w:rFonts w:cstheme="minorHAnsi"/>
        </w:rPr>
        <w:t xml:space="preserve">4.e. Adjustments </w:t>
      </w:r>
      <w:r>
        <w:rPr>
          <w:color w:val="B4B4B4"/>
          <w:sz w:val="20"/>
        </w:rPr>
        <w:t>(ADJUSTMENT)</w:t>
      </w:r>
    </w:p>
    <w:p w14:paraId="7FBAEBBA" w14:textId="50F35FED" w:rsidR="00EC2915" w:rsidRDefault="006F5B16" w:rsidP="00576CFA">
      <w:pPr>
        <w:pStyle w:val="MText"/>
      </w:pPr>
      <w:r>
        <w:t>Not applicable</w:t>
      </w:r>
    </w:p>
    <w:p w14:paraId="23B3F4DF" w14:textId="77777777" w:rsidR="006F5B16" w:rsidRPr="00E43CC4" w:rsidRDefault="006F5B16" w:rsidP="00576CFA">
      <w:pPr>
        <w:pStyle w:val="MText"/>
        <w:rPr>
          <w:rFonts w:cstheme="minorHAnsi"/>
        </w:rPr>
      </w:pPr>
    </w:p>
    <w:p w14:paraId="17735630" w14:textId="3387C27D" w:rsidR="00E1050F" w:rsidRPr="00E43CC4" w:rsidRDefault="00576CFA" w:rsidP="00F719A8">
      <w:pPr>
        <w:pStyle w:val="MHeader2"/>
        <w:rPr>
          <w:rFonts w:cstheme="minorHAnsi"/>
        </w:rPr>
      </w:pPr>
      <w:r w:rsidRPr="00E43CC4">
        <w:rPr>
          <w:rFonts w:cstheme="minorHAnsi"/>
        </w:rPr>
        <w:t>4.f. Treatment of missing values (</w:t>
      </w:r>
      <w:proofErr w:type="spellStart"/>
      <w:r w:rsidRPr="00E43CC4">
        <w:rPr>
          <w:rFonts w:cstheme="minorHAnsi"/>
        </w:rPr>
        <w:t>i</w:t>
      </w:r>
      <w:proofErr w:type="spellEnd"/>
      <w:r w:rsidRPr="00E43CC4">
        <w:rPr>
          <w:rFonts w:cstheme="minorHAnsi"/>
        </w:rPr>
        <w:t xml:space="preserve">) at country level and (ii) at regional level </w:t>
      </w:r>
      <w:r>
        <w:rPr>
          <w:color w:val="B4B4B4"/>
          <w:sz w:val="20"/>
        </w:rPr>
        <w:t>(IMPUTATION)</w:t>
      </w:r>
    </w:p>
    <w:p w14:paraId="23742D4D" w14:textId="77777777" w:rsidR="008D1DD3" w:rsidRPr="00347B8B" w:rsidRDefault="008D1DD3" w:rsidP="008D1DD3">
      <w:pPr>
        <w:numPr>
          <w:ilvl w:val="0"/>
          <w:numId w:val="7"/>
        </w:numPr>
        <w:autoSpaceDE w:val="0"/>
        <w:autoSpaceDN w:val="0"/>
        <w:adjustRightInd w:val="0"/>
        <w:spacing w:after="120"/>
        <w:rPr>
          <w:rFonts w:eastAsia="Times New Roman" w:cstheme="minorHAnsi"/>
          <w:b/>
          <w:bCs/>
          <w:color w:val="4A4A4A"/>
          <w:sz w:val="21"/>
          <w:szCs w:val="21"/>
          <w:lang w:eastAsia="en-GB"/>
        </w:rPr>
      </w:pPr>
      <w:r w:rsidRPr="00347B8B">
        <w:rPr>
          <w:rFonts w:eastAsia="Times New Roman" w:cstheme="minorHAnsi"/>
          <w:b/>
          <w:bCs/>
          <w:color w:val="4A4A4A"/>
          <w:sz w:val="21"/>
          <w:szCs w:val="21"/>
          <w:lang w:eastAsia="en-GB"/>
        </w:rPr>
        <w:t xml:space="preserve">At country level </w:t>
      </w:r>
    </w:p>
    <w:p w14:paraId="3AFAB6AB" w14:textId="40254CD3" w:rsidR="008D1DD3" w:rsidRPr="00E43CC4" w:rsidRDefault="008D1DD3" w:rsidP="008D1DD3">
      <w:pPr>
        <w:autoSpaceDE w:val="0"/>
        <w:autoSpaceDN w:val="0"/>
        <w:adjustRightInd w:val="0"/>
        <w:spacing w:after="120"/>
        <w:ind w:left="36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For countries and territories where no information was provided to FAO for FRA </w:t>
      </w:r>
      <w:r w:rsidR="007012E5">
        <w:rPr>
          <w:rFonts w:eastAsia="Calibri" w:cstheme="minorHAnsi"/>
          <w:color w:val="4A4A4A"/>
          <w:sz w:val="21"/>
          <w:szCs w:val="21"/>
          <w:lang w:val="en-US" w:eastAsia="en-US"/>
        </w:rPr>
        <w:t>2025</w:t>
      </w:r>
      <w:r w:rsidR="007012E5"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w:t>
      </w:r>
      <w:r w:rsidR="007012E5">
        <w:rPr>
          <w:rFonts w:eastAsia="Calibri" w:cstheme="minorHAnsi"/>
          <w:color w:val="4A4A4A"/>
          <w:sz w:val="21"/>
          <w:szCs w:val="21"/>
          <w:lang w:val="en-US" w:eastAsia="en-US"/>
        </w:rPr>
        <w:t>42</w:t>
      </w:r>
      <w:r w:rsidR="007012E5"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 xml:space="preserve">countries and territories representing </w:t>
      </w:r>
      <w:r w:rsidR="007012E5">
        <w:rPr>
          <w:rFonts w:eastAsia="Calibri" w:cstheme="minorHAnsi"/>
          <w:color w:val="4A4A4A"/>
          <w:sz w:val="21"/>
          <w:szCs w:val="21"/>
          <w:lang w:val="en-US" w:eastAsia="en-US"/>
        </w:rPr>
        <w:t>1.6</w:t>
      </w:r>
      <w:r w:rsidRPr="00E43CC4">
        <w:rPr>
          <w:rFonts w:eastAsia="Calibri" w:cstheme="minorHAnsi"/>
          <w:color w:val="4A4A4A"/>
          <w:sz w:val="21"/>
          <w:szCs w:val="21"/>
          <w:lang w:val="en-US" w:eastAsia="en-US"/>
        </w:rPr>
        <w:t xml:space="preserve"> percent of the global forest area</w:t>
      </w:r>
      <w:r w:rsidR="007012E5">
        <w:rPr>
          <w:rFonts w:eastAsia="Calibri" w:cstheme="minorHAnsi"/>
          <w:color w:val="4A4A4A"/>
          <w:sz w:val="21"/>
          <w:szCs w:val="21"/>
          <w:lang w:val="en-US" w:eastAsia="en-US"/>
        </w:rPr>
        <w:t xml:space="preserve"> in 2025</w:t>
      </w:r>
      <w:r w:rsidRPr="00E43CC4">
        <w:rPr>
          <w:rFonts w:eastAsia="Calibri" w:cstheme="minorHAnsi"/>
          <w:color w:val="4A4A4A"/>
          <w:sz w:val="21"/>
          <w:szCs w:val="21"/>
          <w:lang w:val="en-US" w:eastAsia="en-US"/>
        </w:rPr>
        <w:t xml:space="preserve">), FAO </w:t>
      </w:r>
      <w:r w:rsidR="00E95B56">
        <w:rPr>
          <w:rFonts w:eastAsia="Calibri" w:cstheme="minorHAnsi"/>
          <w:color w:val="4A4A4A"/>
          <w:sz w:val="21"/>
          <w:szCs w:val="21"/>
          <w:lang w:val="en-US" w:eastAsia="en-US"/>
        </w:rPr>
        <w:t xml:space="preserve">made estimates based on </w:t>
      </w:r>
      <w:r w:rsidRPr="00E43CC4">
        <w:rPr>
          <w:rFonts w:eastAsia="Calibri" w:cstheme="minorHAnsi"/>
          <w:color w:val="4A4A4A"/>
          <w:sz w:val="21"/>
          <w:szCs w:val="21"/>
          <w:lang w:val="en-US" w:eastAsia="en-US"/>
        </w:rPr>
        <w:t xml:space="preserve">existing information from previous </w:t>
      </w:r>
      <w:r w:rsidR="008D1A7D" w:rsidRPr="00E43CC4">
        <w:rPr>
          <w:rFonts w:eastAsia="Calibri" w:cstheme="minorHAnsi"/>
          <w:color w:val="4A4A4A"/>
          <w:sz w:val="21"/>
          <w:szCs w:val="21"/>
          <w:lang w:val="en-US" w:eastAsia="en-US"/>
        </w:rPr>
        <w:t>assessments, literature</w:t>
      </w:r>
      <w:r w:rsidRPr="00E43CC4">
        <w:rPr>
          <w:rFonts w:eastAsia="Calibri" w:cstheme="minorHAnsi"/>
          <w:color w:val="4A4A4A"/>
          <w:sz w:val="21"/>
          <w:szCs w:val="21"/>
          <w:lang w:val="en-US" w:eastAsia="en-US"/>
        </w:rPr>
        <w:t xml:space="preserve"> search, remote sensing</w:t>
      </w:r>
      <w:r w:rsidR="00557485">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or</w:t>
      </w:r>
      <w:r w:rsidR="00557485">
        <w:rPr>
          <w:rFonts w:eastAsia="Calibri" w:cstheme="minorHAnsi"/>
          <w:color w:val="4A4A4A"/>
          <w:sz w:val="21"/>
          <w:szCs w:val="21"/>
          <w:lang w:val="en-US" w:eastAsia="en-US"/>
        </w:rPr>
        <w:t xml:space="preserve"> from</w:t>
      </w:r>
      <w:r w:rsidRPr="00E43CC4">
        <w:rPr>
          <w:rFonts w:eastAsia="Calibri" w:cstheme="minorHAnsi"/>
          <w:color w:val="4A4A4A"/>
          <w:sz w:val="21"/>
          <w:szCs w:val="21"/>
          <w:lang w:val="en-US" w:eastAsia="en-US"/>
        </w:rPr>
        <w:t xml:space="preserve"> a combination of </w:t>
      </w:r>
      <w:r w:rsidR="00EF70B9">
        <w:rPr>
          <w:rFonts w:eastAsia="Calibri" w:cstheme="minorHAnsi"/>
          <w:color w:val="4A4A4A"/>
          <w:sz w:val="21"/>
          <w:szCs w:val="21"/>
          <w:lang w:val="en-US" w:eastAsia="en-US"/>
        </w:rPr>
        <w:t>these data sources</w:t>
      </w:r>
      <w:r w:rsidRPr="00E43CC4">
        <w:rPr>
          <w:rFonts w:eastAsia="Calibri" w:cstheme="minorHAnsi"/>
          <w:color w:val="4A4A4A"/>
          <w:sz w:val="21"/>
          <w:szCs w:val="21"/>
          <w:lang w:val="en-US" w:eastAsia="en-US"/>
        </w:rPr>
        <w:t xml:space="preserve">. </w:t>
      </w:r>
      <w:r w:rsidR="009C279F">
        <w:rPr>
          <w:rFonts w:eastAsia="Calibri" w:cstheme="minorHAnsi"/>
          <w:color w:val="4A4A4A"/>
          <w:sz w:val="21"/>
          <w:szCs w:val="21"/>
          <w:lang w:val="en-US" w:eastAsia="en-US"/>
        </w:rPr>
        <w:t>For any missing values remaining after this step, including for countries and territories not in FAO FRA, the values are given as “Not Available”</w:t>
      </w:r>
      <w:r w:rsidR="009434FA">
        <w:rPr>
          <w:rFonts w:eastAsia="Calibri" w:cstheme="minorHAnsi"/>
          <w:color w:val="4A4A4A"/>
          <w:sz w:val="21"/>
          <w:szCs w:val="21"/>
          <w:lang w:val="en-US" w:eastAsia="en-US"/>
        </w:rPr>
        <w:t xml:space="preserve"> in the country-level </w:t>
      </w:r>
      <w:r w:rsidR="009A3AE0">
        <w:rPr>
          <w:rFonts w:eastAsia="Calibri" w:cstheme="minorHAnsi"/>
          <w:color w:val="4A4A4A"/>
          <w:sz w:val="21"/>
          <w:szCs w:val="21"/>
          <w:lang w:val="en-US" w:eastAsia="en-US"/>
        </w:rPr>
        <w:t>sub</w:t>
      </w:r>
      <w:r w:rsidR="002E4D15">
        <w:rPr>
          <w:rFonts w:eastAsia="Calibri" w:cstheme="minorHAnsi"/>
          <w:color w:val="4A4A4A"/>
          <w:sz w:val="21"/>
          <w:szCs w:val="21"/>
          <w:lang w:val="en-US" w:eastAsia="en-US"/>
        </w:rPr>
        <w:t>-</w:t>
      </w:r>
      <w:r w:rsidR="009434FA">
        <w:rPr>
          <w:rFonts w:eastAsia="Calibri" w:cstheme="minorHAnsi"/>
          <w:color w:val="4A4A4A"/>
          <w:sz w:val="21"/>
          <w:szCs w:val="21"/>
          <w:lang w:val="en-US" w:eastAsia="en-US"/>
        </w:rPr>
        <w:t>indicator data for 15.2.1.</w:t>
      </w:r>
    </w:p>
    <w:p w14:paraId="5EBA7127" w14:textId="77777777" w:rsidR="008D1DD3" w:rsidRPr="00347B8B" w:rsidRDefault="008D1DD3" w:rsidP="008D1DD3">
      <w:pPr>
        <w:numPr>
          <w:ilvl w:val="0"/>
          <w:numId w:val="7"/>
        </w:numPr>
        <w:autoSpaceDE w:val="0"/>
        <w:autoSpaceDN w:val="0"/>
        <w:adjustRightInd w:val="0"/>
        <w:spacing w:after="120"/>
        <w:rPr>
          <w:rFonts w:eastAsia="Times New Roman" w:cstheme="minorHAnsi"/>
          <w:b/>
          <w:bCs/>
          <w:color w:val="4A4A4A"/>
          <w:sz w:val="21"/>
          <w:szCs w:val="21"/>
          <w:lang w:eastAsia="en-GB"/>
        </w:rPr>
      </w:pPr>
      <w:r w:rsidRPr="00347B8B">
        <w:rPr>
          <w:rFonts w:eastAsia="Times New Roman" w:cstheme="minorHAnsi"/>
          <w:b/>
          <w:bCs/>
          <w:color w:val="4A4A4A"/>
          <w:sz w:val="21"/>
          <w:szCs w:val="21"/>
          <w:lang w:eastAsia="en-GB"/>
        </w:rPr>
        <w:t xml:space="preserve">At regional and global levels </w:t>
      </w:r>
    </w:p>
    <w:p w14:paraId="7FA1478D" w14:textId="5E4CEADB" w:rsidR="0099508C" w:rsidRDefault="004D0B29">
      <w:pPr>
        <w:autoSpaceDE w:val="0"/>
        <w:autoSpaceDN w:val="0"/>
        <w:adjustRightInd w:val="0"/>
        <w:spacing w:after="120"/>
        <w:ind w:left="360"/>
        <w:rPr>
          <w:rFonts w:eastAsia="Calibri" w:cstheme="minorHAnsi"/>
          <w:color w:val="4A4A4A"/>
          <w:sz w:val="21"/>
          <w:szCs w:val="21"/>
          <w:lang w:val="en-US" w:eastAsia="en-US"/>
        </w:rPr>
      </w:pPr>
      <w:r>
        <w:rPr>
          <w:rFonts w:eastAsia="Calibri" w:cstheme="minorHAnsi"/>
          <w:color w:val="4A4A4A"/>
          <w:sz w:val="21"/>
          <w:szCs w:val="21"/>
          <w:lang w:val="en-US" w:eastAsia="en-US"/>
        </w:rPr>
        <w:t>B</w:t>
      </w:r>
      <w:r w:rsidR="00892AB5">
        <w:rPr>
          <w:rFonts w:eastAsia="Calibri" w:cstheme="minorHAnsi"/>
          <w:color w:val="4A4A4A"/>
          <w:sz w:val="21"/>
          <w:szCs w:val="21"/>
          <w:lang w:val="en-US" w:eastAsia="en-US"/>
        </w:rPr>
        <w:t>efore aggregati</w:t>
      </w:r>
      <w:r w:rsidR="00D14F12">
        <w:rPr>
          <w:rFonts w:eastAsia="Calibri" w:cstheme="minorHAnsi"/>
          <w:color w:val="4A4A4A"/>
          <w:sz w:val="21"/>
          <w:szCs w:val="21"/>
          <w:lang w:val="en-US" w:eastAsia="en-US"/>
        </w:rPr>
        <w:t>ng</w:t>
      </w:r>
      <w:r w:rsidR="0075098C">
        <w:rPr>
          <w:rFonts w:eastAsia="Calibri" w:cstheme="minorHAnsi"/>
          <w:color w:val="4A4A4A"/>
          <w:sz w:val="21"/>
          <w:szCs w:val="21"/>
          <w:lang w:val="en-US" w:eastAsia="en-US"/>
        </w:rPr>
        <w:t xml:space="preserve"> country-level </w:t>
      </w:r>
      <w:r w:rsidR="000C1A41">
        <w:rPr>
          <w:rFonts w:eastAsia="Calibri" w:cstheme="minorHAnsi"/>
          <w:color w:val="4A4A4A"/>
          <w:sz w:val="21"/>
          <w:szCs w:val="21"/>
          <w:lang w:val="en-US" w:eastAsia="en-US"/>
        </w:rPr>
        <w:t>above-ground biomass</w:t>
      </w:r>
      <w:r w:rsidR="0075098C">
        <w:rPr>
          <w:rFonts w:eastAsia="Calibri" w:cstheme="minorHAnsi"/>
          <w:color w:val="4A4A4A"/>
          <w:sz w:val="21"/>
          <w:szCs w:val="21"/>
          <w:lang w:val="en-US" w:eastAsia="en-US"/>
        </w:rPr>
        <w:t xml:space="preserve"> data</w:t>
      </w:r>
      <w:r w:rsidR="00E003BE">
        <w:rPr>
          <w:rFonts w:eastAsia="Calibri" w:cstheme="minorHAnsi"/>
          <w:color w:val="4A4A4A"/>
          <w:sz w:val="21"/>
          <w:szCs w:val="21"/>
          <w:lang w:val="en-US" w:eastAsia="en-US"/>
        </w:rPr>
        <w:t xml:space="preserve">, protected area data, or area under </w:t>
      </w:r>
      <w:r w:rsidR="00BB34B0">
        <w:rPr>
          <w:rFonts w:eastAsia="Calibri" w:cstheme="minorHAnsi"/>
          <w:color w:val="4A4A4A"/>
          <w:sz w:val="21"/>
          <w:szCs w:val="21"/>
          <w:lang w:val="en-US" w:eastAsia="en-US"/>
        </w:rPr>
        <w:t xml:space="preserve">a </w:t>
      </w:r>
      <w:r w:rsidR="00E003BE">
        <w:rPr>
          <w:rFonts w:eastAsia="Calibri" w:cstheme="minorHAnsi"/>
          <w:color w:val="4A4A4A"/>
          <w:sz w:val="21"/>
          <w:szCs w:val="21"/>
          <w:lang w:val="en-US" w:eastAsia="en-US"/>
        </w:rPr>
        <w:t>management plan data</w:t>
      </w:r>
      <w:r w:rsidR="0075098C">
        <w:rPr>
          <w:rFonts w:eastAsia="Calibri" w:cstheme="minorHAnsi"/>
          <w:color w:val="4A4A4A"/>
          <w:sz w:val="21"/>
          <w:szCs w:val="21"/>
          <w:lang w:val="en-US" w:eastAsia="en-US"/>
        </w:rPr>
        <w:t xml:space="preserve"> up to</w:t>
      </w:r>
      <w:r w:rsidR="00D14F12">
        <w:rPr>
          <w:rFonts w:eastAsia="Calibri" w:cstheme="minorHAnsi"/>
          <w:color w:val="4A4A4A"/>
          <w:sz w:val="21"/>
          <w:szCs w:val="21"/>
          <w:lang w:val="en-US" w:eastAsia="en-US"/>
        </w:rPr>
        <w:t xml:space="preserve"> regional and global level</w:t>
      </w:r>
      <w:r w:rsidR="000C1A41">
        <w:rPr>
          <w:rFonts w:eastAsia="Calibri" w:cstheme="minorHAnsi"/>
          <w:color w:val="4A4A4A"/>
          <w:sz w:val="21"/>
          <w:szCs w:val="21"/>
          <w:lang w:val="en-US" w:eastAsia="en-US"/>
        </w:rPr>
        <w:t>s</w:t>
      </w:r>
      <w:r w:rsidR="007520B9">
        <w:rPr>
          <w:rFonts w:eastAsia="Calibri" w:cstheme="minorHAnsi"/>
          <w:color w:val="4A4A4A"/>
          <w:sz w:val="21"/>
          <w:szCs w:val="21"/>
          <w:lang w:val="en-US" w:eastAsia="en-US"/>
        </w:rPr>
        <w:t>,</w:t>
      </w:r>
      <w:r w:rsidR="008D797B">
        <w:rPr>
          <w:rFonts w:eastAsia="Calibri" w:cstheme="minorHAnsi"/>
          <w:color w:val="4A4A4A"/>
          <w:sz w:val="21"/>
          <w:szCs w:val="21"/>
          <w:lang w:val="en-US" w:eastAsia="en-US"/>
        </w:rPr>
        <w:t xml:space="preserve"> </w:t>
      </w:r>
      <w:r w:rsidR="003B4A46">
        <w:rPr>
          <w:rFonts w:eastAsia="Calibri" w:cstheme="minorHAnsi"/>
          <w:color w:val="4A4A4A"/>
          <w:sz w:val="21"/>
          <w:szCs w:val="21"/>
          <w:lang w:val="en-US" w:eastAsia="en-US"/>
        </w:rPr>
        <w:t xml:space="preserve">missing values for countries </w:t>
      </w:r>
      <w:r w:rsidR="00AF1649">
        <w:rPr>
          <w:rFonts w:eastAsia="Calibri" w:cstheme="minorHAnsi"/>
          <w:color w:val="4A4A4A"/>
          <w:sz w:val="21"/>
          <w:szCs w:val="21"/>
          <w:lang w:val="en-US" w:eastAsia="en-US"/>
        </w:rPr>
        <w:t xml:space="preserve">and </w:t>
      </w:r>
      <w:r w:rsidR="00ED61B3">
        <w:rPr>
          <w:rFonts w:eastAsia="Calibri" w:cstheme="minorHAnsi"/>
          <w:color w:val="4A4A4A"/>
          <w:sz w:val="21"/>
          <w:szCs w:val="21"/>
          <w:lang w:val="en-US" w:eastAsia="en-US"/>
        </w:rPr>
        <w:t>territories</w:t>
      </w:r>
      <w:r w:rsidR="00AF1649">
        <w:rPr>
          <w:rFonts w:eastAsia="Calibri" w:cstheme="minorHAnsi"/>
          <w:color w:val="4A4A4A"/>
          <w:sz w:val="21"/>
          <w:szCs w:val="21"/>
          <w:lang w:val="en-US" w:eastAsia="en-US"/>
        </w:rPr>
        <w:t xml:space="preserve"> in</w:t>
      </w:r>
      <w:r w:rsidR="00211F1F">
        <w:rPr>
          <w:rFonts w:eastAsia="Calibri" w:cstheme="minorHAnsi"/>
          <w:color w:val="4A4A4A"/>
          <w:sz w:val="21"/>
          <w:szCs w:val="21"/>
          <w:lang w:val="en-US" w:eastAsia="en-US"/>
        </w:rPr>
        <w:t xml:space="preserve"> </w:t>
      </w:r>
      <w:r w:rsidR="00AF1649">
        <w:rPr>
          <w:rFonts w:eastAsia="Calibri" w:cstheme="minorHAnsi"/>
          <w:color w:val="4A4A4A"/>
          <w:sz w:val="21"/>
          <w:szCs w:val="21"/>
          <w:lang w:val="en-US" w:eastAsia="en-US"/>
        </w:rPr>
        <w:t>FAO FRA 2025</w:t>
      </w:r>
      <w:r w:rsidR="00FB0716">
        <w:rPr>
          <w:rFonts w:eastAsia="Calibri" w:cstheme="minorHAnsi"/>
          <w:color w:val="4A4A4A"/>
          <w:sz w:val="21"/>
          <w:szCs w:val="21"/>
          <w:lang w:val="en-US" w:eastAsia="en-US"/>
        </w:rPr>
        <w:t xml:space="preserve"> that did not already have FAO estimates</w:t>
      </w:r>
      <w:r w:rsidR="008E152F">
        <w:rPr>
          <w:rFonts w:eastAsia="Calibri" w:cstheme="minorHAnsi"/>
          <w:color w:val="4A4A4A"/>
          <w:sz w:val="21"/>
          <w:szCs w:val="21"/>
          <w:lang w:val="en-US" w:eastAsia="en-US"/>
        </w:rPr>
        <w:t xml:space="preserve"> (see above)</w:t>
      </w:r>
      <w:r w:rsidR="0099508C">
        <w:rPr>
          <w:rFonts w:eastAsia="Calibri" w:cstheme="minorHAnsi"/>
          <w:color w:val="4A4A4A"/>
          <w:sz w:val="21"/>
          <w:szCs w:val="21"/>
          <w:lang w:val="en-US" w:eastAsia="en-US"/>
        </w:rPr>
        <w:t xml:space="preserve"> were </w:t>
      </w:r>
      <w:r w:rsidR="008E152F">
        <w:rPr>
          <w:rFonts w:eastAsia="Calibri" w:cstheme="minorHAnsi"/>
          <w:color w:val="4A4A4A"/>
          <w:sz w:val="21"/>
          <w:szCs w:val="21"/>
          <w:lang w:val="en-US" w:eastAsia="en-US"/>
        </w:rPr>
        <w:t>imputed</w:t>
      </w:r>
      <w:r w:rsidR="007C3F7B">
        <w:rPr>
          <w:rFonts w:eastAsia="Calibri" w:cstheme="minorHAnsi"/>
          <w:color w:val="4A4A4A"/>
          <w:sz w:val="21"/>
          <w:szCs w:val="21"/>
          <w:lang w:val="en-US" w:eastAsia="en-US"/>
        </w:rPr>
        <w:t xml:space="preserve">. </w:t>
      </w:r>
    </w:p>
    <w:p w14:paraId="69C35ADF" w14:textId="09F56CD2" w:rsidR="000968F2" w:rsidRDefault="00FE0E34" w:rsidP="003E041E">
      <w:pPr>
        <w:autoSpaceDE w:val="0"/>
        <w:autoSpaceDN w:val="0"/>
        <w:adjustRightInd w:val="0"/>
        <w:spacing w:after="120"/>
        <w:ind w:left="360"/>
        <w:rPr>
          <w:rFonts w:ascii="Calibri" w:hAnsi="Calibri" w:cs="Calibri"/>
          <w:color w:val="4A4A4A"/>
          <w:sz w:val="21"/>
        </w:rPr>
      </w:pPr>
      <w:r w:rsidRPr="00FE0E34">
        <w:rPr>
          <w:rFonts w:eastAsia="Calibri" w:cstheme="minorHAnsi"/>
          <w:color w:val="4A4A4A"/>
          <w:sz w:val="21"/>
          <w:szCs w:val="21"/>
          <w:u w:val="single"/>
          <w:lang w:val="en-US" w:eastAsia="en-US"/>
        </w:rPr>
        <w:t>Above-ground biomass in forest</w:t>
      </w:r>
      <w:r w:rsidR="0060692D">
        <w:rPr>
          <w:rFonts w:eastAsia="Calibri" w:cstheme="minorHAnsi"/>
          <w:color w:val="4A4A4A"/>
          <w:sz w:val="21"/>
          <w:szCs w:val="21"/>
          <w:lang w:val="en-US" w:eastAsia="en-US"/>
        </w:rPr>
        <w:t xml:space="preserve">: </w:t>
      </w:r>
      <w:r w:rsidR="002B014C">
        <w:rPr>
          <w:rFonts w:eastAsia="Calibri" w:cstheme="minorHAnsi"/>
          <w:color w:val="4A4A4A"/>
          <w:sz w:val="21"/>
          <w:szCs w:val="21"/>
          <w:lang w:val="en-US" w:eastAsia="en-US"/>
        </w:rPr>
        <w:t xml:space="preserve">Some countries </w:t>
      </w:r>
      <w:r w:rsidR="00ED61B3">
        <w:rPr>
          <w:rFonts w:eastAsia="Calibri" w:cstheme="minorHAnsi"/>
          <w:color w:val="4A4A4A"/>
          <w:sz w:val="21"/>
          <w:szCs w:val="21"/>
          <w:lang w:val="en-US" w:eastAsia="en-US"/>
        </w:rPr>
        <w:t>and</w:t>
      </w:r>
      <w:r w:rsidR="002B014C">
        <w:rPr>
          <w:rFonts w:eastAsia="Calibri" w:cstheme="minorHAnsi"/>
          <w:color w:val="4A4A4A"/>
          <w:sz w:val="21"/>
          <w:szCs w:val="21"/>
          <w:lang w:val="en-US" w:eastAsia="en-US"/>
        </w:rPr>
        <w:t xml:space="preserve"> </w:t>
      </w:r>
      <w:r w:rsidR="00ED61B3">
        <w:rPr>
          <w:rFonts w:eastAsia="Calibri" w:cstheme="minorHAnsi"/>
          <w:color w:val="4A4A4A"/>
          <w:sz w:val="21"/>
          <w:szCs w:val="21"/>
          <w:lang w:val="en-US" w:eastAsia="en-US"/>
        </w:rPr>
        <w:t>territories</w:t>
      </w:r>
      <w:r w:rsidR="002B014C">
        <w:rPr>
          <w:rFonts w:eastAsia="Calibri" w:cstheme="minorHAnsi"/>
          <w:color w:val="4A4A4A"/>
          <w:sz w:val="21"/>
          <w:szCs w:val="21"/>
          <w:lang w:val="en-US" w:eastAsia="en-US"/>
        </w:rPr>
        <w:t xml:space="preserve"> </w:t>
      </w:r>
      <w:r w:rsidR="00FF2D80">
        <w:rPr>
          <w:rFonts w:eastAsia="Calibri" w:cstheme="minorHAnsi"/>
          <w:color w:val="4A4A4A"/>
          <w:sz w:val="21"/>
          <w:szCs w:val="21"/>
          <w:lang w:val="en-US" w:eastAsia="en-US"/>
        </w:rPr>
        <w:t xml:space="preserve">had partial above-ground biomass time series with missing values </w:t>
      </w:r>
      <w:r w:rsidR="00FD14CF">
        <w:rPr>
          <w:rFonts w:eastAsia="Calibri" w:cstheme="minorHAnsi"/>
          <w:color w:val="4A4A4A"/>
          <w:sz w:val="21"/>
          <w:szCs w:val="21"/>
          <w:lang w:val="en-US" w:eastAsia="en-US"/>
        </w:rPr>
        <w:t>for some</w:t>
      </w:r>
      <w:r w:rsidR="00FF2D80">
        <w:rPr>
          <w:rFonts w:eastAsia="Calibri" w:cstheme="minorHAnsi"/>
          <w:color w:val="4A4A4A"/>
          <w:sz w:val="21"/>
          <w:szCs w:val="21"/>
          <w:lang w:val="en-US" w:eastAsia="en-US"/>
        </w:rPr>
        <w:t xml:space="preserve"> </w:t>
      </w:r>
      <w:r w:rsidR="0002777D">
        <w:rPr>
          <w:rFonts w:eastAsia="Calibri" w:cstheme="minorHAnsi"/>
          <w:color w:val="4A4A4A"/>
          <w:sz w:val="21"/>
          <w:szCs w:val="21"/>
          <w:lang w:val="en-US" w:eastAsia="en-US"/>
        </w:rPr>
        <w:t xml:space="preserve">reference </w:t>
      </w:r>
      <w:r w:rsidR="00FF2D80">
        <w:rPr>
          <w:rFonts w:eastAsia="Calibri" w:cstheme="minorHAnsi"/>
          <w:color w:val="4A4A4A"/>
          <w:sz w:val="21"/>
          <w:szCs w:val="21"/>
          <w:lang w:val="en-US" w:eastAsia="en-US"/>
        </w:rPr>
        <w:t xml:space="preserve">years. </w:t>
      </w:r>
      <w:r w:rsidR="006C1684">
        <w:rPr>
          <w:rFonts w:eastAsia="Calibri" w:cstheme="minorHAnsi"/>
          <w:color w:val="4A4A4A"/>
          <w:sz w:val="21"/>
          <w:szCs w:val="21"/>
          <w:lang w:val="en-US" w:eastAsia="en-US"/>
        </w:rPr>
        <w:t>W</w:t>
      </w:r>
      <w:r w:rsidR="000D137C">
        <w:rPr>
          <w:rFonts w:eastAsia="Calibri" w:cstheme="minorHAnsi"/>
          <w:color w:val="4A4A4A"/>
          <w:sz w:val="21"/>
          <w:szCs w:val="21"/>
          <w:lang w:val="en-US" w:eastAsia="en-US"/>
        </w:rPr>
        <w:t>here</w:t>
      </w:r>
      <w:r w:rsidR="00FF2D80">
        <w:rPr>
          <w:rFonts w:eastAsia="Calibri" w:cstheme="minorHAnsi"/>
          <w:color w:val="4A4A4A"/>
          <w:sz w:val="21"/>
          <w:szCs w:val="21"/>
          <w:lang w:val="en-US" w:eastAsia="en-US"/>
        </w:rPr>
        <w:t xml:space="preserve"> </w:t>
      </w:r>
      <w:r w:rsidR="00EE055F">
        <w:rPr>
          <w:rFonts w:eastAsia="Calibri" w:cstheme="minorHAnsi"/>
          <w:color w:val="4A4A4A"/>
          <w:sz w:val="21"/>
          <w:szCs w:val="21"/>
          <w:lang w:val="en-US" w:eastAsia="en-US"/>
        </w:rPr>
        <w:t xml:space="preserve">FAO </w:t>
      </w:r>
      <w:r w:rsidR="000C10C3">
        <w:rPr>
          <w:rFonts w:eastAsia="Calibri" w:cstheme="minorHAnsi"/>
          <w:color w:val="4A4A4A"/>
          <w:sz w:val="21"/>
          <w:szCs w:val="21"/>
          <w:lang w:val="en-US" w:eastAsia="en-US"/>
        </w:rPr>
        <w:t>FRA</w:t>
      </w:r>
      <w:r w:rsidR="00FF2D80">
        <w:rPr>
          <w:rFonts w:eastAsia="Calibri" w:cstheme="minorHAnsi"/>
          <w:color w:val="4A4A4A"/>
          <w:sz w:val="21"/>
          <w:szCs w:val="21"/>
          <w:lang w:val="en-US" w:eastAsia="en-US"/>
        </w:rPr>
        <w:t xml:space="preserve"> </w:t>
      </w:r>
      <w:r w:rsidR="002D171A">
        <w:rPr>
          <w:rFonts w:eastAsia="Calibri" w:cstheme="minorHAnsi"/>
          <w:color w:val="4A4A4A"/>
          <w:sz w:val="21"/>
          <w:szCs w:val="21"/>
          <w:lang w:val="en-US" w:eastAsia="en-US"/>
        </w:rPr>
        <w:t>data on</w:t>
      </w:r>
      <w:r w:rsidR="00951F4F">
        <w:rPr>
          <w:rFonts w:eastAsia="Calibri" w:cstheme="minorHAnsi"/>
          <w:color w:val="4A4A4A"/>
          <w:sz w:val="21"/>
          <w:szCs w:val="21"/>
          <w:lang w:val="en-US" w:eastAsia="en-US"/>
        </w:rPr>
        <w:t xml:space="preserve"> </w:t>
      </w:r>
      <w:r w:rsidR="002D171A">
        <w:rPr>
          <w:rFonts w:eastAsia="Calibri" w:cstheme="minorHAnsi"/>
          <w:color w:val="4A4A4A"/>
          <w:sz w:val="21"/>
          <w:szCs w:val="21"/>
          <w:lang w:val="en-US" w:eastAsia="en-US"/>
        </w:rPr>
        <w:t xml:space="preserve">the change rate in growing stock </w:t>
      </w:r>
      <w:r w:rsidR="00951F4F">
        <w:rPr>
          <w:rFonts w:eastAsia="Calibri" w:cstheme="minorHAnsi"/>
          <w:color w:val="4A4A4A"/>
          <w:sz w:val="21"/>
          <w:szCs w:val="21"/>
          <w:lang w:val="en-US" w:eastAsia="en-US"/>
        </w:rPr>
        <w:t xml:space="preserve">and partial above-ground </w:t>
      </w:r>
      <w:r w:rsidR="000D137C">
        <w:rPr>
          <w:rFonts w:eastAsia="Calibri" w:cstheme="minorHAnsi"/>
          <w:color w:val="4A4A4A"/>
          <w:sz w:val="21"/>
          <w:szCs w:val="21"/>
          <w:lang w:val="en-US" w:eastAsia="en-US"/>
        </w:rPr>
        <w:t>were available</w:t>
      </w:r>
      <w:r w:rsidR="00D44554">
        <w:rPr>
          <w:rFonts w:eastAsia="Calibri" w:cstheme="minorHAnsi"/>
          <w:color w:val="4A4A4A"/>
          <w:sz w:val="21"/>
          <w:szCs w:val="21"/>
          <w:lang w:val="en-US" w:eastAsia="en-US"/>
        </w:rPr>
        <w:t xml:space="preserve"> for </w:t>
      </w:r>
      <w:r w:rsidR="00FB4E4E">
        <w:rPr>
          <w:rFonts w:eastAsia="Calibri" w:cstheme="minorHAnsi"/>
          <w:color w:val="4A4A4A"/>
          <w:sz w:val="21"/>
          <w:szCs w:val="21"/>
          <w:lang w:val="en-US" w:eastAsia="en-US"/>
        </w:rPr>
        <w:t>a</w:t>
      </w:r>
      <w:r w:rsidR="00D44554">
        <w:rPr>
          <w:rFonts w:eastAsia="Calibri" w:cstheme="minorHAnsi"/>
          <w:color w:val="4A4A4A"/>
          <w:sz w:val="21"/>
          <w:szCs w:val="21"/>
          <w:lang w:val="en-US" w:eastAsia="en-US"/>
        </w:rPr>
        <w:t xml:space="preserve"> country or </w:t>
      </w:r>
      <w:r w:rsidR="00ED61B3">
        <w:rPr>
          <w:rFonts w:eastAsia="Calibri" w:cstheme="minorHAnsi"/>
          <w:color w:val="4A4A4A"/>
          <w:sz w:val="21"/>
          <w:szCs w:val="21"/>
          <w:lang w:val="en-US" w:eastAsia="en-US"/>
        </w:rPr>
        <w:t>territory</w:t>
      </w:r>
      <w:r w:rsidR="000D137C">
        <w:rPr>
          <w:rFonts w:eastAsia="Calibri" w:cstheme="minorHAnsi"/>
          <w:color w:val="4A4A4A"/>
          <w:sz w:val="21"/>
          <w:szCs w:val="21"/>
          <w:lang w:val="en-US" w:eastAsia="en-US"/>
        </w:rPr>
        <w:t xml:space="preserve">, they </w:t>
      </w:r>
      <w:r w:rsidR="002D171A">
        <w:rPr>
          <w:rFonts w:eastAsia="Calibri" w:cstheme="minorHAnsi"/>
          <w:color w:val="4A4A4A"/>
          <w:sz w:val="21"/>
          <w:szCs w:val="21"/>
          <w:lang w:val="en-US" w:eastAsia="en-US"/>
        </w:rPr>
        <w:t xml:space="preserve">were combined </w:t>
      </w:r>
      <w:r w:rsidR="000D137C">
        <w:rPr>
          <w:rFonts w:eastAsia="Calibri" w:cstheme="minorHAnsi"/>
          <w:color w:val="4A4A4A"/>
          <w:sz w:val="21"/>
          <w:szCs w:val="21"/>
          <w:lang w:val="en-US" w:eastAsia="en-US"/>
        </w:rPr>
        <w:t>to create a full imputed time series.</w:t>
      </w:r>
      <w:r w:rsidR="00ED61B3">
        <w:rPr>
          <w:rFonts w:eastAsia="Calibri" w:cstheme="minorHAnsi"/>
          <w:color w:val="4A4A4A"/>
          <w:sz w:val="21"/>
          <w:szCs w:val="21"/>
          <w:lang w:val="en-US" w:eastAsia="en-US"/>
        </w:rPr>
        <w:t xml:space="preserve"> </w:t>
      </w:r>
      <w:r w:rsidR="006B0BD1">
        <w:rPr>
          <w:rFonts w:eastAsia="Calibri" w:cstheme="minorHAnsi"/>
          <w:color w:val="4A4A4A"/>
          <w:sz w:val="21"/>
          <w:szCs w:val="21"/>
          <w:lang w:val="en-US" w:eastAsia="en-US"/>
        </w:rPr>
        <w:t>F</w:t>
      </w:r>
      <w:r w:rsidR="00083F3A">
        <w:rPr>
          <w:rFonts w:eastAsia="Calibri" w:cstheme="minorHAnsi"/>
          <w:color w:val="4A4A4A"/>
          <w:sz w:val="21"/>
          <w:szCs w:val="21"/>
          <w:lang w:val="en-US" w:eastAsia="en-US"/>
        </w:rPr>
        <w:t>or</w:t>
      </w:r>
      <w:r w:rsidR="00473656">
        <w:rPr>
          <w:rFonts w:eastAsia="Calibri" w:cstheme="minorHAnsi"/>
          <w:color w:val="4A4A4A"/>
          <w:sz w:val="21"/>
          <w:szCs w:val="21"/>
          <w:lang w:val="en-US" w:eastAsia="en-US"/>
        </w:rPr>
        <w:t xml:space="preserve"> </w:t>
      </w:r>
      <w:r w:rsidR="00473656" w:rsidRPr="000D1F2E">
        <w:rPr>
          <w:rFonts w:eastAsia="Calibri" w:cstheme="minorHAnsi"/>
          <w:color w:val="4A4A4A"/>
          <w:sz w:val="21"/>
          <w:szCs w:val="21"/>
          <w:lang w:val="en-US" w:eastAsia="en-US"/>
        </w:rPr>
        <w:t xml:space="preserve">countries and </w:t>
      </w:r>
      <w:r w:rsidR="004736B2">
        <w:rPr>
          <w:rFonts w:eastAsia="Calibri" w:cstheme="minorHAnsi"/>
          <w:color w:val="4A4A4A"/>
          <w:sz w:val="21"/>
          <w:szCs w:val="21"/>
          <w:lang w:val="en-US" w:eastAsia="en-US"/>
        </w:rPr>
        <w:t>territories with no above-ground biomass data</w:t>
      </w:r>
      <w:r w:rsidR="002800A4">
        <w:rPr>
          <w:rFonts w:eastAsia="Calibri" w:cstheme="minorHAnsi"/>
          <w:color w:val="4A4A4A"/>
          <w:sz w:val="21"/>
          <w:szCs w:val="21"/>
          <w:lang w:val="en-US" w:eastAsia="en-US"/>
        </w:rPr>
        <w:t xml:space="preserve">, </w:t>
      </w:r>
      <w:r w:rsidR="005518F4">
        <w:rPr>
          <w:rFonts w:eastAsia="Calibri" w:cstheme="minorHAnsi"/>
          <w:color w:val="4A4A4A"/>
          <w:sz w:val="21"/>
          <w:szCs w:val="21"/>
          <w:lang w:val="en-US" w:eastAsia="en-US"/>
        </w:rPr>
        <w:t>estimated</w:t>
      </w:r>
      <w:r w:rsidR="0098647F">
        <w:rPr>
          <w:rFonts w:eastAsia="Calibri" w:cstheme="minorHAnsi"/>
          <w:color w:val="4A4A4A"/>
          <w:sz w:val="21"/>
          <w:szCs w:val="21"/>
          <w:lang w:val="en-US" w:eastAsia="en-US"/>
        </w:rPr>
        <w:t xml:space="preserve"> above-ground biomass per hectare</w:t>
      </w:r>
      <w:r w:rsidR="008E19D7">
        <w:rPr>
          <w:rFonts w:eastAsia="Calibri" w:cstheme="minorHAnsi"/>
          <w:color w:val="4A4A4A"/>
          <w:sz w:val="21"/>
          <w:szCs w:val="21"/>
          <w:lang w:val="en-US" w:eastAsia="en-US"/>
        </w:rPr>
        <w:t xml:space="preserve"> values were multiplied by the forest area </w:t>
      </w:r>
      <w:r w:rsidR="00FD6575">
        <w:rPr>
          <w:rFonts w:eastAsia="Calibri" w:cstheme="minorHAnsi"/>
          <w:color w:val="4A4A4A"/>
          <w:sz w:val="21"/>
          <w:szCs w:val="21"/>
          <w:lang w:val="en-US" w:eastAsia="en-US"/>
        </w:rPr>
        <w:t>time series</w:t>
      </w:r>
      <w:r w:rsidR="008E19D7">
        <w:rPr>
          <w:rFonts w:eastAsia="Calibri" w:cstheme="minorHAnsi"/>
          <w:color w:val="4A4A4A"/>
          <w:sz w:val="21"/>
          <w:szCs w:val="21"/>
          <w:lang w:val="en-US" w:eastAsia="en-US"/>
        </w:rPr>
        <w:t xml:space="preserve"> </w:t>
      </w:r>
      <w:r w:rsidR="00110723">
        <w:rPr>
          <w:rFonts w:eastAsia="Calibri" w:cstheme="minorHAnsi"/>
          <w:color w:val="4A4A4A"/>
          <w:sz w:val="21"/>
          <w:szCs w:val="21"/>
          <w:lang w:val="en-US" w:eastAsia="en-US"/>
        </w:rPr>
        <w:t>for</w:t>
      </w:r>
      <w:r w:rsidR="008E19D7">
        <w:rPr>
          <w:rFonts w:eastAsia="Calibri" w:cstheme="minorHAnsi"/>
          <w:color w:val="4A4A4A"/>
          <w:sz w:val="21"/>
          <w:szCs w:val="21"/>
          <w:lang w:val="en-US" w:eastAsia="en-US"/>
        </w:rPr>
        <w:t xml:space="preserve"> the country or territory</w:t>
      </w:r>
      <w:r w:rsidR="005518F4">
        <w:rPr>
          <w:rFonts w:eastAsia="Calibri" w:cstheme="minorHAnsi"/>
          <w:color w:val="4A4A4A"/>
          <w:sz w:val="21"/>
          <w:szCs w:val="21"/>
          <w:lang w:val="en-US" w:eastAsia="en-US"/>
        </w:rPr>
        <w:t xml:space="preserve">. In </w:t>
      </w:r>
      <w:r w:rsidR="00087856">
        <w:rPr>
          <w:rFonts w:eastAsia="Calibri" w:cstheme="minorHAnsi"/>
          <w:color w:val="4A4A4A"/>
          <w:sz w:val="21"/>
          <w:szCs w:val="21"/>
          <w:lang w:val="en-US" w:eastAsia="en-US"/>
        </w:rPr>
        <w:t>a few</w:t>
      </w:r>
      <w:r w:rsidR="005518F4">
        <w:rPr>
          <w:rFonts w:eastAsia="Calibri" w:cstheme="minorHAnsi"/>
          <w:color w:val="4A4A4A"/>
          <w:sz w:val="21"/>
          <w:szCs w:val="21"/>
          <w:lang w:val="en-US" w:eastAsia="en-US"/>
        </w:rPr>
        <w:t xml:space="preserve"> cases, the estimated per hectare values were the</w:t>
      </w:r>
      <w:r w:rsidR="004736B2">
        <w:rPr>
          <w:rFonts w:eastAsia="Calibri" w:cstheme="minorHAnsi"/>
          <w:color w:val="4A4A4A"/>
          <w:sz w:val="21"/>
          <w:szCs w:val="21"/>
          <w:lang w:val="en-US" w:eastAsia="en-US"/>
        </w:rPr>
        <w:t xml:space="preserve"> </w:t>
      </w:r>
      <w:r w:rsidR="00F65FD6">
        <w:rPr>
          <w:rFonts w:eastAsia="Calibri" w:cstheme="minorHAnsi"/>
          <w:color w:val="4A4A4A"/>
          <w:sz w:val="21"/>
          <w:szCs w:val="21"/>
          <w:lang w:val="en-US" w:eastAsia="en-US"/>
        </w:rPr>
        <w:t xml:space="preserve">FAO FRA values for a nearby or otherwise similar country or territory. In other cases, the </w:t>
      </w:r>
      <w:r w:rsidR="00F65FD6">
        <w:rPr>
          <w:rFonts w:eastAsia="Calibri" w:cstheme="minorHAnsi"/>
          <w:color w:val="4A4A4A"/>
          <w:sz w:val="21"/>
          <w:szCs w:val="21"/>
          <w:lang w:val="en-US" w:eastAsia="en-US"/>
        </w:rPr>
        <w:lastRenderedPageBreak/>
        <w:t xml:space="preserve">estimated per hectare values were the mean </w:t>
      </w:r>
      <w:r w:rsidR="00433913">
        <w:rPr>
          <w:rFonts w:eastAsia="Calibri" w:cstheme="minorHAnsi"/>
          <w:color w:val="4A4A4A"/>
          <w:sz w:val="21"/>
          <w:szCs w:val="21"/>
          <w:lang w:val="en-US" w:eastAsia="en-US"/>
        </w:rPr>
        <w:t xml:space="preserve">of </w:t>
      </w:r>
      <w:r w:rsidR="00F65FD6">
        <w:rPr>
          <w:rFonts w:eastAsia="Calibri" w:cstheme="minorHAnsi"/>
          <w:color w:val="4A4A4A"/>
          <w:sz w:val="21"/>
          <w:szCs w:val="21"/>
          <w:lang w:val="en-US" w:eastAsia="en-US"/>
        </w:rPr>
        <w:t xml:space="preserve">FAO FRA values </w:t>
      </w:r>
      <w:r w:rsidR="00433913">
        <w:rPr>
          <w:rFonts w:eastAsia="Calibri" w:cstheme="minorHAnsi"/>
          <w:color w:val="4A4A4A"/>
          <w:sz w:val="21"/>
          <w:szCs w:val="21"/>
          <w:lang w:val="en-US" w:eastAsia="en-US"/>
        </w:rPr>
        <w:t>for</w:t>
      </w:r>
      <w:r w:rsidR="00F65FD6">
        <w:rPr>
          <w:rFonts w:eastAsia="Calibri" w:cstheme="minorHAnsi"/>
          <w:color w:val="4A4A4A"/>
          <w:sz w:val="21"/>
          <w:szCs w:val="21"/>
          <w:lang w:val="en-US" w:eastAsia="en-US"/>
        </w:rPr>
        <w:t xml:space="preserve"> countries and territories in the same FRA subregional grouping.</w:t>
      </w:r>
      <w:r w:rsidR="00087856">
        <w:rPr>
          <w:rFonts w:eastAsia="Calibri" w:cstheme="minorHAnsi"/>
          <w:color w:val="4A4A4A"/>
          <w:sz w:val="21"/>
          <w:szCs w:val="21"/>
          <w:lang w:val="en-US" w:eastAsia="en-US"/>
        </w:rPr>
        <w:t xml:space="preserve"> </w:t>
      </w:r>
    </w:p>
    <w:p w14:paraId="27033367" w14:textId="1FE2F1EB" w:rsidR="00EC2915" w:rsidRPr="00E43CC4" w:rsidRDefault="00FE0E34" w:rsidP="00EA430B">
      <w:pPr>
        <w:autoSpaceDE w:val="0"/>
        <w:autoSpaceDN w:val="0"/>
        <w:adjustRightInd w:val="0"/>
        <w:spacing w:after="120"/>
        <w:ind w:left="360"/>
        <w:rPr>
          <w:rFonts w:cstheme="minorHAnsi"/>
        </w:rPr>
      </w:pPr>
      <w:r w:rsidRPr="00FE0E34">
        <w:rPr>
          <w:rFonts w:ascii="Calibri" w:hAnsi="Calibri" w:cs="Calibri"/>
          <w:color w:val="4A4A4A"/>
          <w:sz w:val="21"/>
          <w:u w:val="single"/>
        </w:rPr>
        <w:t xml:space="preserve">Proportion of forest area within legally established protected </w:t>
      </w:r>
      <w:r w:rsidRPr="00EA430B">
        <w:rPr>
          <w:rFonts w:ascii="Calibri" w:hAnsi="Calibri" w:cs="Calibri"/>
          <w:color w:val="4A4A4A"/>
          <w:sz w:val="21"/>
          <w:u w:val="single"/>
        </w:rPr>
        <w:t xml:space="preserve">and under </w:t>
      </w:r>
      <w:r>
        <w:rPr>
          <w:rFonts w:ascii="Calibri" w:hAnsi="Calibri" w:cs="Calibri"/>
          <w:color w:val="4A4A4A"/>
          <w:sz w:val="21"/>
          <w:u w:val="single"/>
        </w:rPr>
        <w:t xml:space="preserve">a long-term </w:t>
      </w:r>
      <w:r w:rsidRPr="00EA430B">
        <w:rPr>
          <w:rFonts w:ascii="Calibri" w:hAnsi="Calibri" w:cs="Calibri"/>
          <w:color w:val="4A4A4A"/>
          <w:sz w:val="21"/>
          <w:u w:val="single"/>
        </w:rPr>
        <w:t>management plan</w:t>
      </w:r>
      <w:r>
        <w:rPr>
          <w:rFonts w:ascii="Calibri" w:hAnsi="Calibri" w:cs="Calibri"/>
          <w:color w:val="4A4A4A"/>
          <w:sz w:val="21"/>
        </w:rPr>
        <w:t xml:space="preserve">: </w:t>
      </w:r>
      <w:r w:rsidR="00E003BE">
        <w:rPr>
          <w:rFonts w:ascii="Calibri" w:hAnsi="Calibri" w:cs="Calibri"/>
          <w:color w:val="4A4A4A"/>
          <w:sz w:val="21"/>
        </w:rPr>
        <w:t>Some countries</w:t>
      </w:r>
      <w:r w:rsidR="000247AC">
        <w:rPr>
          <w:rFonts w:ascii="Calibri" w:hAnsi="Calibri" w:cs="Calibri"/>
          <w:color w:val="4A4A4A"/>
          <w:sz w:val="21"/>
        </w:rPr>
        <w:t xml:space="preserve"> and territories</w:t>
      </w:r>
      <w:r w:rsidR="00E003BE">
        <w:rPr>
          <w:rFonts w:ascii="Calibri" w:hAnsi="Calibri" w:cs="Calibri"/>
          <w:color w:val="4A4A4A"/>
          <w:sz w:val="21"/>
        </w:rPr>
        <w:t xml:space="preserve"> </w:t>
      </w:r>
      <w:r w:rsidR="00BE2D23">
        <w:rPr>
          <w:rFonts w:ascii="Calibri" w:hAnsi="Calibri" w:cs="Calibri"/>
          <w:color w:val="4A4A4A"/>
          <w:sz w:val="21"/>
        </w:rPr>
        <w:t>had parti</w:t>
      </w:r>
      <w:r w:rsidR="00E255BA">
        <w:rPr>
          <w:rFonts w:ascii="Calibri" w:hAnsi="Calibri" w:cs="Calibri"/>
          <w:color w:val="4A4A4A"/>
          <w:sz w:val="21"/>
        </w:rPr>
        <w:t xml:space="preserve">al protected area or area under management plan time series. Where </w:t>
      </w:r>
      <w:r w:rsidR="000247AC">
        <w:rPr>
          <w:rFonts w:ascii="Calibri" w:hAnsi="Calibri" w:cs="Calibri"/>
          <w:color w:val="4A4A4A"/>
          <w:sz w:val="21"/>
        </w:rPr>
        <w:t xml:space="preserve">a country or territory </w:t>
      </w:r>
      <w:r w:rsidR="00FA7A2C">
        <w:rPr>
          <w:rFonts w:ascii="Calibri" w:hAnsi="Calibri" w:cs="Calibri"/>
          <w:color w:val="4A4A4A"/>
          <w:sz w:val="21"/>
        </w:rPr>
        <w:t>had</w:t>
      </w:r>
      <w:r w:rsidR="000247AC">
        <w:rPr>
          <w:rFonts w:ascii="Calibri" w:hAnsi="Calibri" w:cs="Calibri"/>
          <w:color w:val="4A4A4A"/>
          <w:sz w:val="21"/>
        </w:rPr>
        <w:t xml:space="preserve"> a missing value in the earliest reference year, </w:t>
      </w:r>
      <w:r w:rsidR="00FA7A2C">
        <w:rPr>
          <w:rFonts w:ascii="Calibri" w:hAnsi="Calibri" w:cs="Calibri"/>
          <w:color w:val="4A4A4A"/>
          <w:sz w:val="21"/>
        </w:rPr>
        <w:t>it</w:t>
      </w:r>
      <w:r w:rsidR="000247AC">
        <w:rPr>
          <w:rFonts w:ascii="Calibri" w:hAnsi="Calibri" w:cs="Calibri"/>
          <w:color w:val="4A4A4A"/>
          <w:sz w:val="21"/>
        </w:rPr>
        <w:t xml:space="preserve"> was imputed using the value from the second earliest reference year</w:t>
      </w:r>
      <w:r w:rsidR="001F15AF">
        <w:rPr>
          <w:rFonts w:ascii="Calibri" w:hAnsi="Calibri" w:cs="Calibri"/>
          <w:color w:val="4A4A4A"/>
          <w:sz w:val="21"/>
        </w:rPr>
        <w:t xml:space="preserve"> (if not missing</w:t>
      </w:r>
      <w:r w:rsidR="00FA7A2C">
        <w:rPr>
          <w:rFonts w:ascii="Calibri" w:hAnsi="Calibri" w:cs="Calibri"/>
          <w:color w:val="4A4A4A"/>
          <w:sz w:val="21"/>
        </w:rPr>
        <w:t>)</w:t>
      </w:r>
      <w:r w:rsidR="000247AC">
        <w:rPr>
          <w:rFonts w:ascii="Calibri" w:hAnsi="Calibri" w:cs="Calibri"/>
          <w:color w:val="4A4A4A"/>
          <w:sz w:val="21"/>
        </w:rPr>
        <w:t>. Where there</w:t>
      </w:r>
      <w:r w:rsidR="00FA7A2C">
        <w:rPr>
          <w:rFonts w:ascii="Calibri" w:hAnsi="Calibri" w:cs="Calibri"/>
          <w:color w:val="4A4A4A"/>
          <w:sz w:val="21"/>
        </w:rPr>
        <w:t xml:space="preserve"> was a missing value in the latest reference year, it was imputed using the value from the second latest reference year (if </w:t>
      </w:r>
      <w:r w:rsidR="001F15AF">
        <w:rPr>
          <w:rFonts w:ascii="Calibri" w:hAnsi="Calibri" w:cs="Calibri"/>
          <w:color w:val="4A4A4A"/>
          <w:sz w:val="21"/>
        </w:rPr>
        <w:t>not missing</w:t>
      </w:r>
      <w:r w:rsidR="00FA7A2C">
        <w:rPr>
          <w:rFonts w:ascii="Calibri" w:hAnsi="Calibri" w:cs="Calibri"/>
          <w:color w:val="4A4A4A"/>
          <w:sz w:val="21"/>
        </w:rPr>
        <w:t>).</w:t>
      </w:r>
    </w:p>
    <w:p w14:paraId="51FCD280" w14:textId="0DAB30E3" w:rsidR="00E1050F" w:rsidRPr="00E43CC4" w:rsidRDefault="00E1050F" w:rsidP="00557826">
      <w:pPr>
        <w:pStyle w:val="MHeader2"/>
        <w:keepNext/>
        <w:rPr>
          <w:rFonts w:cstheme="minorHAnsi"/>
        </w:rPr>
      </w:pPr>
      <w:r w:rsidRPr="00E43CC4">
        <w:rPr>
          <w:rFonts w:cstheme="minorHAnsi"/>
        </w:rPr>
        <w:t xml:space="preserve">4.g. </w:t>
      </w:r>
      <w:proofErr w:type="gramStart"/>
      <w:r w:rsidRPr="00E43CC4">
        <w:rPr>
          <w:rFonts w:cstheme="minorHAnsi"/>
        </w:rPr>
        <w:t>Regional</w:t>
      </w:r>
      <w:proofErr w:type="gramEnd"/>
      <w:r w:rsidRPr="00E43CC4">
        <w:rPr>
          <w:rFonts w:cstheme="minorHAnsi"/>
        </w:rPr>
        <w:t xml:space="preserve"> aggregations </w:t>
      </w:r>
      <w:r>
        <w:rPr>
          <w:color w:val="B4B4B4"/>
          <w:sz w:val="20"/>
        </w:rPr>
        <w:t>(REG_AGG)</w:t>
      </w:r>
    </w:p>
    <w:p w14:paraId="1D0DFBF9" w14:textId="31039B58"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See Annex 2 – Methodology</w:t>
      </w:r>
      <w:r w:rsidR="00510FC2">
        <w:rPr>
          <w:rFonts w:eastAsia="Calibri" w:cstheme="minorHAnsi"/>
          <w:color w:val="4A4A4A"/>
          <w:sz w:val="21"/>
          <w:szCs w:val="21"/>
          <w:lang w:val="en-US" w:eastAsia="en-US"/>
        </w:rPr>
        <w:t xml:space="preserve"> and </w:t>
      </w:r>
      <w:r w:rsidR="003E041E">
        <w:rPr>
          <w:rFonts w:eastAsia="Calibri" w:cstheme="minorHAnsi"/>
          <w:color w:val="4A4A4A"/>
          <w:sz w:val="21"/>
          <w:szCs w:val="21"/>
          <w:lang w:val="en-US" w:eastAsia="en-US"/>
        </w:rPr>
        <w:t>section</w:t>
      </w:r>
      <w:r w:rsidR="00510FC2">
        <w:rPr>
          <w:rFonts w:eastAsia="Calibri" w:cstheme="minorHAnsi"/>
          <w:color w:val="4A4A4A"/>
          <w:sz w:val="21"/>
          <w:szCs w:val="21"/>
          <w:lang w:val="en-US" w:eastAsia="en-US"/>
        </w:rPr>
        <w:t xml:space="preserve"> </w:t>
      </w:r>
      <w:r w:rsidR="00767960">
        <w:rPr>
          <w:rFonts w:eastAsia="Calibri" w:cstheme="minorHAnsi"/>
          <w:color w:val="4A4A4A"/>
          <w:sz w:val="21"/>
          <w:szCs w:val="21"/>
          <w:lang w:val="en-US" w:eastAsia="en-US"/>
        </w:rPr>
        <w:t>4.</w:t>
      </w:r>
      <w:r w:rsidR="00DD4D4A">
        <w:rPr>
          <w:rFonts w:eastAsia="Calibri" w:cstheme="minorHAnsi"/>
          <w:color w:val="4A4A4A"/>
          <w:sz w:val="21"/>
          <w:szCs w:val="21"/>
          <w:lang w:val="en-US" w:eastAsia="en-US"/>
        </w:rPr>
        <w:t xml:space="preserve">f. </w:t>
      </w:r>
      <w:r w:rsidR="007714DC">
        <w:rPr>
          <w:rFonts w:eastAsia="Calibri" w:cstheme="minorHAnsi"/>
          <w:color w:val="4A4A4A"/>
          <w:sz w:val="21"/>
          <w:szCs w:val="21"/>
          <w:lang w:val="en-US" w:eastAsia="en-US"/>
        </w:rPr>
        <w:t>for imputation before aggregation</w:t>
      </w:r>
      <w:r w:rsidRPr="00E43CC4">
        <w:rPr>
          <w:rFonts w:eastAsia="Calibri" w:cstheme="minorHAnsi"/>
          <w:color w:val="4A4A4A"/>
          <w:sz w:val="21"/>
          <w:szCs w:val="21"/>
          <w:lang w:val="en-US" w:eastAsia="en-US"/>
        </w:rPr>
        <w:t xml:space="preserve">. Annex 2 also shows how the dashboard traffic lights are applied at global and regional level. </w:t>
      </w:r>
    </w:p>
    <w:p w14:paraId="2EA010B7" w14:textId="77777777" w:rsidR="00EC2915" w:rsidRPr="00E43CC4" w:rsidRDefault="00EC2915" w:rsidP="00576CFA">
      <w:pPr>
        <w:pStyle w:val="MText"/>
        <w:rPr>
          <w:rFonts w:cstheme="minorHAnsi"/>
        </w:rPr>
      </w:pPr>
    </w:p>
    <w:p w14:paraId="71213FF2" w14:textId="52980C15" w:rsidR="00E1050F" w:rsidRPr="00E43CC4" w:rsidRDefault="00576CFA" w:rsidP="00557F63">
      <w:pPr>
        <w:pStyle w:val="MHeader2"/>
        <w:keepNext/>
        <w:rPr>
          <w:rFonts w:cstheme="minorHAnsi"/>
        </w:rPr>
      </w:pPr>
      <w:r w:rsidRPr="00E43CC4">
        <w:rPr>
          <w:rFonts w:cstheme="minorHAnsi"/>
        </w:rPr>
        <w:t xml:space="preserve">4.h. Methods and guidance available to countries for the compilation of the data at the national level </w:t>
      </w:r>
      <w:r>
        <w:rPr>
          <w:color w:val="B4B4B4"/>
          <w:sz w:val="20"/>
        </w:rPr>
        <w:t>(DOC_METHOD)</w:t>
      </w:r>
    </w:p>
    <w:p w14:paraId="064B3D21" w14:textId="4576751D" w:rsidR="008D1DD3" w:rsidRPr="00E43CC4" w:rsidRDefault="008D1DD3" w:rsidP="008D1DD3">
      <w:pPr>
        <w:autoSpaceDE w:val="0"/>
        <w:autoSpaceDN w:val="0"/>
        <w:adjustRightInd w:val="0"/>
        <w:spacing w:after="120"/>
        <w:rPr>
          <w:rFonts w:eastAsia="Calibri" w:cstheme="minorHAnsi"/>
          <w:color w:val="000000"/>
          <w:sz w:val="21"/>
          <w:szCs w:val="21"/>
          <w:lang w:val="en-US" w:eastAsia="en-US"/>
        </w:rPr>
      </w:pPr>
      <w:r w:rsidRPr="00E43CC4">
        <w:rPr>
          <w:rFonts w:eastAsia="Calibri" w:cstheme="minorHAnsi"/>
          <w:color w:val="4A4A4A"/>
          <w:sz w:val="21"/>
          <w:szCs w:val="21"/>
          <w:lang w:val="en-US" w:eastAsia="en-US"/>
        </w:rPr>
        <w:t>Detailed methodology and guidance on how to prepare the country reports through an online reporting platform and</w:t>
      </w:r>
      <w:r w:rsidR="00202158">
        <w:rPr>
          <w:rFonts w:eastAsia="Calibri" w:cstheme="minorHAnsi"/>
          <w:color w:val="4A4A4A"/>
          <w:sz w:val="21"/>
          <w:szCs w:val="21"/>
          <w:lang w:val="en-US" w:eastAsia="en-US"/>
        </w:rPr>
        <w:t xml:space="preserve"> on how</w:t>
      </w:r>
      <w:r w:rsidRPr="00E43CC4">
        <w:rPr>
          <w:rFonts w:eastAsia="Calibri" w:cstheme="minorHAnsi"/>
          <w:color w:val="4A4A4A"/>
          <w:sz w:val="21"/>
          <w:szCs w:val="21"/>
          <w:lang w:val="en-US" w:eastAsia="en-US"/>
        </w:rPr>
        <w:t xml:space="preserve"> to convert national data according to national categories and definitions to FAO’s global categories and definitions </w:t>
      </w:r>
      <w:r w:rsidR="0077358C">
        <w:rPr>
          <w:rFonts w:eastAsia="Calibri" w:cstheme="minorHAnsi"/>
          <w:color w:val="4A4A4A"/>
          <w:sz w:val="21"/>
          <w:szCs w:val="21"/>
          <w:lang w:val="en-US" w:eastAsia="en-US"/>
        </w:rPr>
        <w:t>can be</w:t>
      </w:r>
      <w:r w:rsidR="0077358C" w:rsidRPr="00E43CC4">
        <w:rPr>
          <w:rFonts w:eastAsia="Calibri" w:cstheme="minorHAnsi"/>
          <w:color w:val="4A4A4A"/>
          <w:sz w:val="21"/>
          <w:szCs w:val="21"/>
          <w:lang w:val="en-US" w:eastAsia="en-US"/>
        </w:rPr>
        <w:t xml:space="preserve"> </w:t>
      </w:r>
      <w:r w:rsidRPr="00E43CC4">
        <w:rPr>
          <w:rFonts w:eastAsia="Calibri" w:cstheme="minorHAnsi"/>
          <w:color w:val="4A4A4A"/>
          <w:sz w:val="21"/>
          <w:szCs w:val="21"/>
          <w:lang w:val="en-US" w:eastAsia="en-US"/>
        </w:rPr>
        <w:t>found in the documents “</w:t>
      </w:r>
      <w:r w:rsidR="00481312">
        <w:rPr>
          <w:rFonts w:eastAsia="Calibri" w:cstheme="minorHAnsi"/>
          <w:color w:val="4A4A4A"/>
          <w:sz w:val="21"/>
          <w:szCs w:val="21"/>
          <w:lang w:val="en-US" w:eastAsia="en-US"/>
        </w:rPr>
        <w:t xml:space="preserve">FRA 2025 </w:t>
      </w:r>
      <w:r w:rsidRPr="00E43CC4">
        <w:rPr>
          <w:rFonts w:eastAsia="Calibri" w:cstheme="minorHAnsi"/>
          <w:i/>
          <w:iCs/>
          <w:color w:val="4A4A4A"/>
          <w:sz w:val="21"/>
          <w:szCs w:val="21"/>
          <w:lang w:val="en-US" w:eastAsia="en-US"/>
        </w:rPr>
        <w:t>Guidelines and Specifications</w:t>
      </w:r>
      <w:r w:rsidRPr="00E43CC4">
        <w:rPr>
          <w:rFonts w:eastAsia="Calibri" w:cstheme="minorHAnsi"/>
          <w:color w:val="4A4A4A"/>
          <w:sz w:val="21"/>
          <w:szCs w:val="21"/>
          <w:lang w:val="en-US" w:eastAsia="en-US"/>
        </w:rPr>
        <w:t xml:space="preserve">” </w:t>
      </w:r>
      <w:r w:rsidRPr="00E43CC4">
        <w:rPr>
          <w:rFonts w:eastAsia="Calibri" w:cstheme="minorHAnsi"/>
          <w:color w:val="000000"/>
          <w:sz w:val="21"/>
          <w:szCs w:val="21"/>
          <w:lang w:val="en-US" w:eastAsia="en-US"/>
        </w:rPr>
        <w:t>(</w:t>
      </w:r>
      <w:hyperlink r:id="rId12" w:history="1">
        <w:r w:rsidR="00170CE1" w:rsidRPr="00336BA1">
          <w:rPr>
            <w:rStyle w:val="Hyperlink"/>
          </w:rPr>
          <w:t>https://openknowledge.fao.org/handle/20.500.14283/cc4690en</w:t>
        </w:r>
      </w:hyperlink>
      <w:r w:rsidRPr="00E43CC4">
        <w:rPr>
          <w:rFonts w:eastAsia="Calibri" w:cstheme="minorHAnsi"/>
          <w:color w:val="000000"/>
          <w:sz w:val="21"/>
          <w:szCs w:val="21"/>
          <w:lang w:val="en-US" w:eastAsia="en-US"/>
        </w:rPr>
        <w:t xml:space="preserve">) </w:t>
      </w:r>
      <w:r w:rsidRPr="00E43CC4">
        <w:rPr>
          <w:rFonts w:eastAsia="Calibri" w:cstheme="minorHAnsi"/>
          <w:color w:val="4A4A4A"/>
          <w:sz w:val="21"/>
          <w:szCs w:val="21"/>
          <w:lang w:val="en-US" w:eastAsia="en-US"/>
        </w:rPr>
        <w:t>and “</w:t>
      </w:r>
      <w:r w:rsidR="00815EF4">
        <w:rPr>
          <w:rFonts w:eastAsia="Calibri" w:cstheme="minorHAnsi"/>
          <w:color w:val="4A4A4A"/>
          <w:sz w:val="21"/>
          <w:szCs w:val="21"/>
          <w:lang w:val="en-US" w:eastAsia="en-US"/>
        </w:rPr>
        <w:t xml:space="preserve">FRA 2025 </w:t>
      </w:r>
      <w:r w:rsidRPr="00E43CC4">
        <w:rPr>
          <w:rFonts w:eastAsia="Calibri" w:cstheme="minorHAnsi"/>
          <w:i/>
          <w:iCs/>
          <w:color w:val="4A4A4A"/>
          <w:sz w:val="21"/>
          <w:szCs w:val="21"/>
          <w:lang w:val="en-US" w:eastAsia="en-US"/>
        </w:rPr>
        <w:t>Terms and Definitions</w:t>
      </w:r>
      <w:r w:rsidRPr="00E43CC4">
        <w:rPr>
          <w:rFonts w:eastAsia="Calibri" w:cstheme="minorHAnsi"/>
          <w:color w:val="4A4A4A"/>
          <w:sz w:val="21"/>
          <w:szCs w:val="21"/>
          <w:lang w:val="en-US" w:eastAsia="en-US"/>
        </w:rPr>
        <w:t xml:space="preserve">” </w:t>
      </w:r>
      <w:r w:rsidRPr="00E43CC4">
        <w:rPr>
          <w:rFonts w:eastAsia="Calibri" w:cstheme="minorHAnsi"/>
          <w:color w:val="000000"/>
          <w:sz w:val="21"/>
          <w:szCs w:val="21"/>
          <w:lang w:val="en-US" w:eastAsia="en-US"/>
        </w:rPr>
        <w:t>(</w:t>
      </w:r>
      <w:hyperlink r:id="rId13" w:history="1">
        <w:r w:rsidR="00C63F50" w:rsidRPr="00120D64">
          <w:rPr>
            <w:rStyle w:val="Hyperlink"/>
          </w:rPr>
          <w:t>https://openknowledge.fao.org/handle/20.500.14283/cc4691en</w:t>
        </w:r>
      </w:hyperlink>
      <w:r w:rsidRPr="00E43CC4">
        <w:rPr>
          <w:rFonts w:eastAsia="Calibri" w:cstheme="minorHAnsi"/>
          <w:color w:val="000000"/>
          <w:sz w:val="21"/>
          <w:szCs w:val="21"/>
          <w:lang w:val="en-US" w:eastAsia="en-US"/>
        </w:rPr>
        <w:t xml:space="preserve">). </w:t>
      </w:r>
    </w:p>
    <w:p w14:paraId="0F74DF54" w14:textId="6C77A2BD" w:rsidR="008D1DD3" w:rsidRDefault="00B82BA0" w:rsidP="00557F63">
      <w:pPr>
        <w:autoSpaceDE w:val="0"/>
        <w:autoSpaceDN w:val="0"/>
        <w:adjustRightInd w:val="0"/>
        <w:spacing w:after="0"/>
        <w:rPr>
          <w:rFonts w:eastAsia="Calibri" w:cstheme="minorHAnsi"/>
          <w:color w:val="4A4A4A"/>
          <w:sz w:val="21"/>
          <w:szCs w:val="21"/>
          <w:lang w:val="en-US" w:eastAsia="en-US"/>
        </w:rPr>
      </w:pPr>
      <w:r>
        <w:rPr>
          <w:rFonts w:eastAsia="Calibri" w:cstheme="minorHAnsi"/>
          <w:color w:val="4A4A4A"/>
          <w:sz w:val="21"/>
          <w:szCs w:val="21"/>
          <w:lang w:val="en-US" w:eastAsia="en-US"/>
        </w:rPr>
        <w:t>FAO supports the reporting process through capacity development on reporting methodology and remote sensing. The reporting platform provides easy access to relevant and freely available global remote sensing datasets and products.</w:t>
      </w:r>
    </w:p>
    <w:p w14:paraId="04E181BE" w14:textId="77777777" w:rsidR="00B82BA0" w:rsidRPr="00E43CC4" w:rsidRDefault="00B82BA0" w:rsidP="008D1DD3">
      <w:pPr>
        <w:autoSpaceDE w:val="0"/>
        <w:autoSpaceDN w:val="0"/>
        <w:adjustRightInd w:val="0"/>
        <w:spacing w:after="120"/>
        <w:rPr>
          <w:rFonts w:eastAsia="Calibri" w:cstheme="minorHAnsi"/>
          <w:color w:val="000000"/>
          <w:sz w:val="21"/>
          <w:szCs w:val="21"/>
          <w:lang w:val="en-US" w:eastAsia="en-US"/>
        </w:rPr>
      </w:pPr>
    </w:p>
    <w:p w14:paraId="494C36E8" w14:textId="22C3CD05" w:rsidR="00E1050F" w:rsidRPr="00E43CC4" w:rsidRDefault="00576CFA" w:rsidP="00557826">
      <w:pPr>
        <w:pStyle w:val="MHeader2"/>
        <w:keepNext/>
        <w:rPr>
          <w:rFonts w:cstheme="minorHAnsi"/>
        </w:rPr>
      </w:pPr>
      <w:r w:rsidRPr="00E43CC4">
        <w:rPr>
          <w:rFonts w:cstheme="minorHAnsi"/>
        </w:rPr>
        <w:t xml:space="preserve">4.i. Quality management </w:t>
      </w:r>
      <w:r>
        <w:rPr>
          <w:color w:val="B4B4B4"/>
          <w:sz w:val="20"/>
        </w:rPr>
        <w:t>(QUALITY_MGMNT)</w:t>
      </w:r>
    </w:p>
    <w:p w14:paraId="1AA038E7" w14:textId="44AB1842" w:rsidR="00E16C64" w:rsidRPr="00E43CC4" w:rsidRDefault="0021071D" w:rsidP="00576CFA">
      <w:pPr>
        <w:pStyle w:val="MText"/>
        <w:rPr>
          <w:rFonts w:cstheme="minorHAnsi"/>
        </w:rPr>
      </w:pPr>
      <w:r w:rsidRPr="00ED46A5">
        <w:rPr>
          <w:lang w:val="en-US"/>
        </w:rPr>
        <w:t xml:space="preserve">FAO is responsible for the quality of the internal statistical processes used to compile the published datasets. The FAO Statistics </w:t>
      </w:r>
      <w:r w:rsidR="003328FF">
        <w:rPr>
          <w:lang w:val="en-US"/>
        </w:rPr>
        <w:t xml:space="preserve">and Data </w:t>
      </w:r>
      <w:r w:rsidRPr="00ED46A5">
        <w:rPr>
          <w:lang w:val="en-US"/>
        </w:rPr>
        <w:t xml:space="preserve">Quality Assurance Framework (SQAF), available at: </w:t>
      </w:r>
      <w:hyperlink r:id="rId14" w:history="1">
        <w:r w:rsidR="00906FD0" w:rsidRPr="00336BA1">
          <w:rPr>
            <w:rStyle w:val="Hyperlink"/>
          </w:rPr>
          <w:t>https://openknowledge.fao.org/handle/20.500.14283/cc6683en</w:t>
        </w:r>
      </w:hyperlink>
      <w:r w:rsidR="00663DF6">
        <w:rPr>
          <w:lang w:val="en-US"/>
        </w:rPr>
        <w:t xml:space="preserve">, </w:t>
      </w:r>
      <w:r w:rsidRPr="00ED46A5">
        <w:rPr>
          <w:lang w:val="en-US"/>
        </w:rPr>
        <w:t xml:space="preserve">provides the necessary principles, guidelines and tools to carry out quality assessments. FAO is performing an internal bi-annual survey (FAO Quality Assessment and Planning Survey) designed to gather information on all of FAO’s statistical activities, notably to assess the extent to which quality standards are being implemented with a view to increasing compliance with the quality dimensions of SQAF, documenting best practices and </w:t>
      </w:r>
      <w:proofErr w:type="gramStart"/>
      <w:r w:rsidRPr="00ED46A5">
        <w:rPr>
          <w:lang w:val="en-US"/>
        </w:rPr>
        <w:t>prepare</w:t>
      </w:r>
      <w:proofErr w:type="gramEnd"/>
      <w:r w:rsidRPr="00ED46A5">
        <w:rPr>
          <w:lang w:val="en-US"/>
        </w:rPr>
        <w:t xml:space="preserve"> quality improvement plans, where necessary. Domain-specific quality assurance activities are carried out systematically (e.g. quality reviews, self-assessments, compliance monitoring).</w:t>
      </w:r>
    </w:p>
    <w:p w14:paraId="5484B16D" w14:textId="77777777" w:rsidR="00EC2915" w:rsidRPr="00E43CC4" w:rsidRDefault="00EC2915" w:rsidP="00576CFA">
      <w:pPr>
        <w:pStyle w:val="MText"/>
        <w:rPr>
          <w:rFonts w:cstheme="minorHAnsi"/>
        </w:rPr>
      </w:pPr>
    </w:p>
    <w:p w14:paraId="17B979CA" w14:textId="449C0153" w:rsidR="00E1050F" w:rsidRPr="00E43CC4" w:rsidRDefault="00E1050F" w:rsidP="00557826">
      <w:pPr>
        <w:pStyle w:val="MHeader2"/>
        <w:keepNext/>
        <w:rPr>
          <w:rFonts w:cstheme="minorHAnsi"/>
        </w:rPr>
      </w:pPr>
      <w:r w:rsidRPr="00E43CC4">
        <w:rPr>
          <w:rFonts w:cstheme="minorHAnsi"/>
        </w:rPr>
        <w:t xml:space="preserve">4.j Quality assurance </w:t>
      </w:r>
      <w:r>
        <w:rPr>
          <w:color w:val="B4B4B4"/>
          <w:sz w:val="20"/>
        </w:rPr>
        <w:t>(QUALITY_ASSURE)</w:t>
      </w:r>
    </w:p>
    <w:p w14:paraId="7D189A7D" w14:textId="72CE6F85" w:rsidR="008D1DD3" w:rsidRPr="00E43CC4" w:rsidRDefault="001C7EBF" w:rsidP="000E2992">
      <w:pPr>
        <w:autoSpaceDE w:val="0"/>
        <w:autoSpaceDN w:val="0"/>
        <w:adjustRightInd w:val="0"/>
        <w:spacing w:after="0"/>
        <w:rPr>
          <w:rFonts w:eastAsia="Calibri" w:cstheme="minorHAnsi"/>
          <w:color w:val="4A4A4A"/>
          <w:sz w:val="21"/>
          <w:szCs w:val="21"/>
          <w:lang w:val="en-US" w:eastAsia="en-US"/>
        </w:rPr>
      </w:pPr>
      <w:r>
        <w:rPr>
          <w:rFonts w:eastAsia="Calibri" w:cstheme="minorHAnsi"/>
          <w:color w:val="4A4A4A"/>
          <w:sz w:val="21"/>
          <w:szCs w:val="21"/>
          <w:lang w:val="en-US" w:eastAsia="en-US"/>
        </w:rPr>
        <w:t>Dat</w:t>
      </w:r>
      <w:r w:rsidR="00EB44E1">
        <w:rPr>
          <w:rFonts w:eastAsia="Calibri" w:cstheme="minorHAnsi"/>
          <w:color w:val="4A4A4A"/>
          <w:sz w:val="21"/>
          <w:szCs w:val="21"/>
          <w:lang w:val="en-US" w:eastAsia="en-US"/>
        </w:rPr>
        <w:t>a</w:t>
      </w:r>
      <w:r>
        <w:rPr>
          <w:rFonts w:eastAsia="Calibri" w:cstheme="minorHAnsi"/>
          <w:color w:val="4A4A4A"/>
          <w:sz w:val="21"/>
          <w:szCs w:val="21"/>
          <w:lang w:val="en-US" w:eastAsia="en-US"/>
        </w:rPr>
        <w:t xml:space="preserve"> reported by countries to FAO are subject to</w:t>
      </w:r>
      <w:r w:rsidR="008D1DD3" w:rsidRPr="00E43CC4">
        <w:rPr>
          <w:rFonts w:eastAsia="Calibri" w:cstheme="minorHAnsi"/>
          <w:color w:val="4A4A4A"/>
          <w:sz w:val="21"/>
          <w:szCs w:val="21"/>
          <w:lang w:val="en-US" w:eastAsia="en-US"/>
        </w:rPr>
        <w:t xml:space="preserve"> a rigorous review process to ensure correct use of definitions and methodology as well as internal consistency. A comparison is made with past assessments and other existing data sources. Regular contacts between national correspondents and FAO staff by e-mail and regional/sub-regional review workshops form part of this review process. </w:t>
      </w:r>
    </w:p>
    <w:p w14:paraId="03EF3244" w14:textId="77777777" w:rsidR="00EC2915" w:rsidRPr="00E43CC4" w:rsidRDefault="00EC2915" w:rsidP="00576CFA">
      <w:pPr>
        <w:pStyle w:val="MText"/>
        <w:rPr>
          <w:rFonts w:cstheme="minorHAnsi"/>
        </w:rPr>
      </w:pPr>
    </w:p>
    <w:p w14:paraId="34ADD322" w14:textId="1A21C057" w:rsidR="00E1050F" w:rsidRPr="00E43CC4" w:rsidRDefault="00576CFA" w:rsidP="00557826">
      <w:pPr>
        <w:pStyle w:val="MHeader2"/>
        <w:keepNext/>
        <w:rPr>
          <w:rFonts w:cstheme="minorHAnsi"/>
        </w:rPr>
      </w:pPr>
      <w:r w:rsidRPr="00E43CC4">
        <w:rPr>
          <w:rFonts w:cstheme="minorHAnsi"/>
        </w:rPr>
        <w:lastRenderedPageBreak/>
        <w:t xml:space="preserve">4.k Quality assessment </w:t>
      </w:r>
      <w:r>
        <w:rPr>
          <w:color w:val="B4B4B4"/>
          <w:sz w:val="20"/>
        </w:rPr>
        <w:t>(QUALITY_ASSMNT)</w:t>
      </w:r>
    </w:p>
    <w:p w14:paraId="5D98231E" w14:textId="33BE9C4F" w:rsidR="00D91689" w:rsidRPr="000E2992" w:rsidRDefault="00047AE6" w:rsidP="000E2992">
      <w:pPr>
        <w:spacing w:after="0"/>
        <w:rPr>
          <w:rFonts w:eastAsia="Calibri" w:cstheme="minorHAnsi"/>
          <w:color w:val="4A4A4A"/>
          <w:sz w:val="21"/>
          <w:szCs w:val="21"/>
          <w:lang w:val="en-US" w:eastAsia="en-US"/>
        </w:rPr>
      </w:pPr>
      <w:r w:rsidRPr="000E2992">
        <w:rPr>
          <w:rFonts w:eastAsia="Calibri" w:cstheme="minorHAnsi"/>
          <w:color w:val="4A4A4A"/>
          <w:sz w:val="21"/>
          <w:szCs w:val="21"/>
          <w:lang w:val="en-US" w:eastAsia="en-US"/>
        </w:rPr>
        <w:t xml:space="preserve">Quality of statistics produced and disseminated by the FAO is evaluated in terms of fitness for use i.e. the degree to which statistics meet the user’s requirements. The quality dimensions assessed </w:t>
      </w:r>
      <w:proofErr w:type="gramStart"/>
      <w:r w:rsidRPr="000E2992">
        <w:rPr>
          <w:rFonts w:eastAsia="Calibri" w:cstheme="minorHAnsi"/>
          <w:color w:val="4A4A4A"/>
          <w:sz w:val="21"/>
          <w:szCs w:val="21"/>
          <w:lang w:val="en-US" w:eastAsia="en-US"/>
        </w:rPr>
        <w:t>are:</w:t>
      </w:r>
      <w:proofErr w:type="gramEnd"/>
      <w:r w:rsidRPr="000E2992">
        <w:rPr>
          <w:rFonts w:eastAsia="Calibri" w:cstheme="minorHAnsi"/>
          <w:color w:val="4A4A4A"/>
          <w:sz w:val="21"/>
          <w:szCs w:val="21"/>
          <w:lang w:val="en-US" w:eastAsia="en-US"/>
        </w:rPr>
        <w:t xml:space="preserve"> Relevance; Accuracy and Reliability; Timeliness and Punctuality; Coherence and Comparability; Accessibility and Clarity. Quality dimensions definitions are provided in the FAO Statistic</w:t>
      </w:r>
      <w:r w:rsidR="00423916">
        <w:rPr>
          <w:rFonts w:eastAsia="Calibri" w:cstheme="minorHAnsi"/>
          <w:color w:val="4A4A4A"/>
          <w:sz w:val="21"/>
          <w:szCs w:val="21"/>
          <w:lang w:val="en-US" w:eastAsia="en-US"/>
        </w:rPr>
        <w:t>s</w:t>
      </w:r>
      <w:r w:rsidRPr="000E2992">
        <w:rPr>
          <w:rFonts w:eastAsia="Calibri" w:cstheme="minorHAnsi"/>
          <w:color w:val="4A4A4A"/>
          <w:sz w:val="21"/>
          <w:szCs w:val="21"/>
          <w:lang w:val="en-US" w:eastAsia="en-US"/>
        </w:rPr>
        <w:t xml:space="preserve"> </w:t>
      </w:r>
      <w:r w:rsidR="00423916">
        <w:rPr>
          <w:rFonts w:eastAsia="Calibri" w:cstheme="minorHAnsi"/>
          <w:color w:val="4A4A4A"/>
          <w:sz w:val="21"/>
          <w:szCs w:val="21"/>
          <w:lang w:val="en-US" w:eastAsia="en-US"/>
        </w:rPr>
        <w:t xml:space="preserve">and Data </w:t>
      </w:r>
      <w:r w:rsidRPr="000E2992">
        <w:rPr>
          <w:rFonts w:eastAsia="Calibri" w:cstheme="minorHAnsi"/>
          <w:color w:val="4A4A4A"/>
          <w:sz w:val="21"/>
          <w:szCs w:val="21"/>
          <w:lang w:val="en-US" w:eastAsia="en-US"/>
        </w:rPr>
        <w:t>Quality Assurance Framework (SQAF), which provides the definition of quality and describes quality principles for statistical outputs; statistical processes; institutional environment (</w:t>
      </w:r>
      <w:hyperlink r:id="rId15" w:history="1">
        <w:r w:rsidR="00BE5351" w:rsidRPr="00CC739B">
          <w:rPr>
            <w:rStyle w:val="Hyperlink"/>
            <w:sz w:val="21"/>
            <w:szCs w:val="21"/>
          </w:rPr>
          <w:t>https://openknowledge.fao.org/handle/20.500.14283/cc6683en</w:t>
        </w:r>
      </w:hyperlink>
      <w:r w:rsidRPr="000E2992">
        <w:rPr>
          <w:rFonts w:eastAsia="Calibri" w:cstheme="minorHAnsi"/>
          <w:color w:val="4A4A4A"/>
          <w:sz w:val="21"/>
          <w:szCs w:val="21"/>
          <w:lang w:val="en-US" w:eastAsia="en-US"/>
        </w:rPr>
        <w:t>). The SQAF is based on the Fundamental Principles of Official Statistics and the Principles Governing International Statistical Activities (CCSA). Adherence to these principles ensures the quality of FAO statistical production processes and of statistical outputs. Regular quality assessments are conducted through the FAO Quality Assessment and Planning Survey (QAPS), a bi-annual survey designed to gather information on all of FAO’s statistical activities, which is used to assess the extent to which quality standards are being met with a view to increasing compliance with the SQAF, and to document best practices and provide guidance for improvement where necessary.</w:t>
      </w:r>
      <w:r w:rsidRPr="000E2992" w:rsidDel="00047AE6">
        <w:rPr>
          <w:rFonts w:eastAsia="Calibri" w:cstheme="minorHAnsi"/>
          <w:color w:val="4A4A4A"/>
          <w:sz w:val="21"/>
          <w:szCs w:val="21"/>
          <w:lang w:val="en-US" w:eastAsia="en-US"/>
        </w:rPr>
        <w:t xml:space="preserve"> </w:t>
      </w:r>
    </w:p>
    <w:p w14:paraId="1C9CD6D9" w14:textId="77777777" w:rsidR="008D1DD3" w:rsidRPr="00E43CC4" w:rsidRDefault="008D1DD3" w:rsidP="00576CFA">
      <w:pPr>
        <w:pStyle w:val="MText"/>
        <w:rPr>
          <w:rFonts w:cstheme="minorHAnsi"/>
        </w:rPr>
      </w:pPr>
    </w:p>
    <w:p w14:paraId="17787B3C" w14:textId="03FE81A9" w:rsidR="00E1050F" w:rsidRPr="00E43CC4" w:rsidRDefault="00576CFA" w:rsidP="00557826">
      <w:pPr>
        <w:pStyle w:val="MHeader"/>
        <w:keepNext/>
        <w:spacing w:after="100"/>
        <w:rPr>
          <w:rFonts w:cstheme="minorHAnsi"/>
        </w:rPr>
      </w:pPr>
      <w:r w:rsidRPr="00E43CC4">
        <w:rPr>
          <w:rFonts w:cstheme="minorHAnsi"/>
        </w:rPr>
        <w:t xml:space="preserve">5. Data availability and disaggregation </w:t>
      </w:r>
      <w:r>
        <w:rPr>
          <w:color w:val="B4B4B4"/>
          <w:sz w:val="20"/>
        </w:rPr>
        <w:t>(COVERAGE)</w:t>
      </w:r>
    </w:p>
    <w:p w14:paraId="464A8CCF" w14:textId="46E9A804" w:rsidR="00576CFA" w:rsidRPr="00920CBE" w:rsidRDefault="00D51E7C" w:rsidP="00557826">
      <w:pPr>
        <w:pStyle w:val="MText"/>
        <w:keepNext/>
        <w:keepLines/>
        <w:rPr>
          <w:rFonts w:cstheme="minorHAnsi"/>
          <w:b/>
          <w:bCs/>
        </w:rPr>
      </w:pPr>
      <w:r w:rsidRPr="00920CBE">
        <w:rPr>
          <w:rFonts w:cstheme="minorHAnsi"/>
          <w:b/>
          <w:bCs/>
        </w:rPr>
        <w:t>Data availability:</w:t>
      </w:r>
    </w:p>
    <w:p w14:paraId="7E4E81FA" w14:textId="1D6399A7" w:rsidR="008D1DD3" w:rsidRPr="00E43CC4" w:rsidRDefault="00264A1B" w:rsidP="002449B6">
      <w:pPr>
        <w:keepLines/>
        <w:autoSpaceDE w:val="0"/>
        <w:autoSpaceDN w:val="0"/>
        <w:adjustRightInd w:val="0"/>
        <w:spacing w:after="0"/>
        <w:rPr>
          <w:rFonts w:eastAsia="Calibri" w:cstheme="minorHAnsi"/>
          <w:color w:val="4A4A4A"/>
          <w:sz w:val="21"/>
          <w:szCs w:val="21"/>
          <w:lang w:val="en-US" w:eastAsia="en-US"/>
        </w:rPr>
      </w:pPr>
      <w:r>
        <w:rPr>
          <w:rFonts w:eastAsia="Calibri" w:cstheme="minorHAnsi"/>
          <w:color w:val="4A4A4A"/>
          <w:sz w:val="21"/>
          <w:szCs w:val="21"/>
          <w:lang w:val="en-US" w:eastAsia="en-US"/>
        </w:rPr>
        <w:t>D</w:t>
      </w:r>
      <w:r w:rsidR="008D1DD3" w:rsidRPr="00E43CC4">
        <w:rPr>
          <w:rFonts w:eastAsia="Calibri" w:cstheme="minorHAnsi"/>
          <w:color w:val="4A4A4A"/>
          <w:sz w:val="21"/>
          <w:szCs w:val="21"/>
          <w:lang w:val="en-US" w:eastAsia="en-US"/>
        </w:rPr>
        <w:t xml:space="preserve">ata </w:t>
      </w:r>
      <w:proofErr w:type="gramStart"/>
      <w:r>
        <w:rPr>
          <w:rFonts w:eastAsia="Calibri" w:cstheme="minorHAnsi"/>
          <w:color w:val="4A4A4A"/>
          <w:sz w:val="21"/>
          <w:szCs w:val="21"/>
          <w:lang w:val="en-US" w:eastAsia="en-US"/>
        </w:rPr>
        <w:t>are</w:t>
      </w:r>
      <w:proofErr w:type="gramEnd"/>
      <w:r>
        <w:rPr>
          <w:rFonts w:eastAsia="Calibri" w:cstheme="minorHAnsi"/>
          <w:color w:val="4A4A4A"/>
          <w:sz w:val="21"/>
          <w:szCs w:val="21"/>
          <w:lang w:val="en-US" w:eastAsia="en-US"/>
        </w:rPr>
        <w:t xml:space="preserve"> available </w:t>
      </w:r>
      <w:r w:rsidR="009427DF">
        <w:rPr>
          <w:rFonts w:eastAsia="Calibri" w:cstheme="minorHAnsi"/>
          <w:color w:val="4A4A4A"/>
          <w:sz w:val="21"/>
          <w:szCs w:val="21"/>
          <w:lang w:val="en-US" w:eastAsia="en-US"/>
        </w:rPr>
        <w:t xml:space="preserve">for </w:t>
      </w:r>
      <w:r w:rsidR="008D1DD3" w:rsidRPr="00E43CC4">
        <w:rPr>
          <w:rFonts w:eastAsia="Calibri" w:cstheme="minorHAnsi"/>
          <w:color w:val="4A4A4A"/>
          <w:sz w:val="21"/>
          <w:szCs w:val="21"/>
          <w:lang w:val="en-US" w:eastAsia="en-US"/>
        </w:rPr>
        <w:t xml:space="preserve">236 countries and territories. </w:t>
      </w:r>
    </w:p>
    <w:p w14:paraId="5853D6F7" w14:textId="30881D60" w:rsidR="00D51E7C" w:rsidRPr="00920CBE" w:rsidRDefault="00D51E7C" w:rsidP="00576CFA">
      <w:pPr>
        <w:pStyle w:val="MText"/>
        <w:rPr>
          <w:rFonts w:cstheme="minorHAnsi"/>
          <w:b/>
          <w:bCs/>
        </w:rPr>
      </w:pPr>
      <w:r w:rsidRPr="00920CBE">
        <w:rPr>
          <w:rFonts w:cstheme="minorHAnsi"/>
          <w:b/>
          <w:bCs/>
        </w:rPr>
        <w:t>Time series:</w:t>
      </w:r>
    </w:p>
    <w:p w14:paraId="13FA6413" w14:textId="5A089110" w:rsidR="008D1DD3" w:rsidRPr="005D691D" w:rsidRDefault="00A53427" w:rsidP="00F41485">
      <w:pPr>
        <w:autoSpaceDE w:val="0"/>
        <w:autoSpaceDN w:val="0"/>
        <w:adjustRightInd w:val="0"/>
        <w:spacing w:after="0"/>
        <w:rPr>
          <w:rFonts w:eastAsia="Calibri" w:cstheme="minorHAnsi"/>
          <w:color w:val="4A4A4A"/>
          <w:sz w:val="21"/>
          <w:szCs w:val="21"/>
          <w:lang w:val="en-US" w:eastAsia="en-US"/>
        </w:rPr>
      </w:pPr>
      <w:r w:rsidRPr="005D691D">
        <w:rPr>
          <w:rFonts w:eastAsia="Calibri" w:cstheme="minorHAnsi"/>
          <w:color w:val="4A4A4A"/>
          <w:sz w:val="21"/>
          <w:szCs w:val="21"/>
          <w:lang w:val="en-US" w:eastAsia="en-US"/>
        </w:rPr>
        <w:t xml:space="preserve">For </w:t>
      </w:r>
      <w:r w:rsidR="00C256CD" w:rsidRPr="005D691D">
        <w:rPr>
          <w:rFonts w:eastAsia="Calibri" w:cstheme="minorHAnsi"/>
          <w:color w:val="4A4A4A"/>
          <w:sz w:val="21"/>
          <w:szCs w:val="21"/>
          <w:lang w:val="en-US" w:eastAsia="en-US"/>
        </w:rPr>
        <w:t>sub-indicators 1 to 4</w:t>
      </w:r>
      <w:proofErr w:type="gramStart"/>
      <w:r w:rsidR="00C256CD" w:rsidRPr="005D691D">
        <w:rPr>
          <w:rFonts w:eastAsia="Calibri" w:cstheme="minorHAnsi"/>
          <w:color w:val="4A4A4A"/>
          <w:sz w:val="21"/>
          <w:szCs w:val="21"/>
          <w:lang w:val="en-US" w:eastAsia="en-US"/>
        </w:rPr>
        <w:t xml:space="preserve">:  </w:t>
      </w:r>
      <w:r w:rsidR="00B24FED" w:rsidRPr="005D691D">
        <w:rPr>
          <w:rFonts w:eastAsia="Calibri" w:cstheme="minorHAnsi"/>
          <w:color w:val="4A4A4A"/>
          <w:sz w:val="21"/>
          <w:szCs w:val="21"/>
          <w:lang w:val="en-US" w:eastAsia="en-US"/>
        </w:rPr>
        <w:t>1990</w:t>
      </w:r>
      <w:proofErr w:type="gramEnd"/>
      <w:r w:rsidR="00B24FED" w:rsidRPr="005D691D">
        <w:rPr>
          <w:rFonts w:eastAsia="Calibri" w:cstheme="minorHAnsi"/>
          <w:color w:val="4A4A4A"/>
          <w:sz w:val="21"/>
          <w:szCs w:val="21"/>
          <w:lang w:val="en-US" w:eastAsia="en-US"/>
        </w:rPr>
        <w:t xml:space="preserve">, </w:t>
      </w:r>
      <w:r w:rsidR="00621790" w:rsidRPr="005D691D">
        <w:rPr>
          <w:rFonts w:eastAsia="Calibri" w:cstheme="minorHAnsi"/>
          <w:color w:val="4A4A4A"/>
          <w:sz w:val="21"/>
          <w:szCs w:val="21"/>
          <w:lang w:val="en-US" w:eastAsia="en-US"/>
        </w:rPr>
        <w:t xml:space="preserve">2000, 2010, 2015, </w:t>
      </w:r>
      <w:r w:rsidR="00B24FED" w:rsidRPr="005D691D">
        <w:rPr>
          <w:rFonts w:eastAsia="Calibri" w:cstheme="minorHAnsi"/>
          <w:color w:val="4A4A4A"/>
          <w:sz w:val="21"/>
          <w:szCs w:val="21"/>
          <w:lang w:val="en-US" w:eastAsia="en-US"/>
        </w:rPr>
        <w:t>2020, 2025</w:t>
      </w:r>
      <w:r w:rsidR="00F41485" w:rsidRPr="005D691D">
        <w:rPr>
          <w:rFonts w:eastAsia="Calibri" w:cstheme="minorHAnsi"/>
          <w:color w:val="4A4A4A"/>
          <w:sz w:val="21"/>
          <w:szCs w:val="21"/>
          <w:lang w:val="en-US" w:eastAsia="en-US"/>
        </w:rPr>
        <w:t>.</w:t>
      </w:r>
    </w:p>
    <w:p w14:paraId="760C013A" w14:textId="4EC8C14A" w:rsidR="00D51E7C" w:rsidRPr="00E43CC4" w:rsidRDefault="00C256CD" w:rsidP="00576CFA">
      <w:pPr>
        <w:pStyle w:val="MText"/>
        <w:rPr>
          <w:rFonts w:cstheme="minorHAnsi"/>
          <w:highlight w:val="cyan"/>
        </w:rPr>
      </w:pPr>
      <w:r w:rsidRPr="002449B6">
        <w:rPr>
          <w:rFonts w:cstheme="minorHAnsi"/>
        </w:rPr>
        <w:t xml:space="preserve">For sub-indicator 5: </w:t>
      </w:r>
      <w:r w:rsidR="00992BAE">
        <w:rPr>
          <w:rFonts w:cstheme="minorHAnsi"/>
        </w:rPr>
        <w:t xml:space="preserve">1990, </w:t>
      </w:r>
      <w:r w:rsidR="005D691D" w:rsidRPr="005D691D">
        <w:rPr>
          <w:rFonts w:cstheme="minorHAnsi"/>
        </w:rPr>
        <w:t>2000, 2010, 2015, and every year since</w:t>
      </w:r>
      <w:r w:rsidR="004F6D16">
        <w:rPr>
          <w:rFonts w:cstheme="minorHAnsi"/>
        </w:rPr>
        <w:t>.</w:t>
      </w:r>
    </w:p>
    <w:p w14:paraId="72C7C370" w14:textId="3864FA8D" w:rsidR="00D51E7C" w:rsidRPr="00920CBE" w:rsidRDefault="00D51E7C" w:rsidP="002449B6">
      <w:pPr>
        <w:pStyle w:val="MText"/>
        <w:keepNext/>
        <w:rPr>
          <w:rFonts w:cstheme="minorHAnsi"/>
          <w:b/>
          <w:bCs/>
        </w:rPr>
      </w:pPr>
      <w:r w:rsidRPr="00920CBE">
        <w:rPr>
          <w:rFonts w:cstheme="minorHAnsi"/>
          <w:b/>
          <w:bCs/>
        </w:rPr>
        <w:t>Disaggregation:</w:t>
      </w:r>
    </w:p>
    <w:p w14:paraId="089CA668" w14:textId="77777777"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No further disaggregation of this indicator. </w:t>
      </w:r>
    </w:p>
    <w:p w14:paraId="42E8CA56" w14:textId="61ADFCEE" w:rsidR="00D51E7C" w:rsidRPr="00E43CC4" w:rsidRDefault="00D51E7C" w:rsidP="00576CFA">
      <w:pPr>
        <w:pStyle w:val="MText"/>
        <w:rPr>
          <w:rFonts w:cstheme="minorHAnsi"/>
        </w:rPr>
      </w:pPr>
    </w:p>
    <w:p w14:paraId="4D0520F7" w14:textId="528635FB" w:rsidR="00382CF3" w:rsidRPr="00E43CC4" w:rsidRDefault="00B31E2C" w:rsidP="00663DF6">
      <w:pPr>
        <w:pStyle w:val="MHeader"/>
        <w:keepNext/>
        <w:spacing w:after="100"/>
        <w:rPr>
          <w:rFonts w:cstheme="minorHAnsi"/>
        </w:rPr>
      </w:pPr>
      <w:r w:rsidRPr="00E43CC4">
        <w:rPr>
          <w:rFonts w:cstheme="minorHAnsi"/>
        </w:rPr>
        <w:t xml:space="preserve">6. Comparability / deviation from international standards </w:t>
      </w:r>
      <w:r>
        <w:rPr>
          <w:color w:val="B4B4B4"/>
          <w:sz w:val="20"/>
        </w:rPr>
        <w:t>(COMPARABILITY)</w:t>
      </w:r>
    </w:p>
    <w:p w14:paraId="3595E072" w14:textId="371D2893" w:rsidR="00D51E7C" w:rsidRPr="00920CBE" w:rsidRDefault="00D51E7C" w:rsidP="00663DF6">
      <w:pPr>
        <w:pStyle w:val="MText"/>
        <w:keepNext/>
        <w:rPr>
          <w:rFonts w:cstheme="minorHAnsi"/>
          <w:b/>
          <w:bCs/>
        </w:rPr>
      </w:pPr>
      <w:r w:rsidRPr="00920CBE">
        <w:rPr>
          <w:rFonts w:cstheme="minorHAnsi"/>
          <w:b/>
          <w:bCs/>
        </w:rPr>
        <w:t>Sources of discrepancies:</w:t>
      </w:r>
    </w:p>
    <w:p w14:paraId="57E89ABA" w14:textId="378C8B9A" w:rsidR="008D1DD3" w:rsidRPr="00E43CC4" w:rsidRDefault="008D1DD3" w:rsidP="008D1DD3">
      <w:pPr>
        <w:autoSpaceDE w:val="0"/>
        <w:autoSpaceDN w:val="0"/>
        <w:adjustRightInd w:val="0"/>
        <w:spacing w:after="120"/>
        <w:rPr>
          <w:rFonts w:eastAsia="Calibri" w:cstheme="minorHAnsi"/>
          <w:color w:val="4A4A4A"/>
          <w:sz w:val="21"/>
          <w:szCs w:val="21"/>
          <w:lang w:val="en-US" w:eastAsia="en-US"/>
        </w:rPr>
      </w:pPr>
      <w:r w:rsidRPr="00E43CC4">
        <w:rPr>
          <w:rFonts w:eastAsia="Calibri" w:cstheme="minorHAnsi"/>
          <w:color w:val="4A4A4A"/>
          <w:sz w:val="21"/>
          <w:szCs w:val="21"/>
          <w:lang w:val="en-US" w:eastAsia="en-US"/>
        </w:rPr>
        <w:t>The national figures in the database are reported by the countries themselves following a standardized format, definitions</w:t>
      </w:r>
      <w:r w:rsidR="004E2C9E">
        <w:rPr>
          <w:rFonts w:eastAsia="Calibri" w:cstheme="minorHAnsi"/>
          <w:color w:val="4A4A4A"/>
          <w:sz w:val="21"/>
          <w:szCs w:val="21"/>
          <w:lang w:val="en-US" w:eastAsia="en-US"/>
        </w:rPr>
        <w:t>,</w:t>
      </w:r>
      <w:r w:rsidRPr="00E43CC4">
        <w:rPr>
          <w:rFonts w:eastAsia="Calibri" w:cstheme="minorHAnsi"/>
          <w:color w:val="4A4A4A"/>
          <w:sz w:val="21"/>
          <w:szCs w:val="21"/>
          <w:lang w:val="en-US" w:eastAsia="en-US"/>
        </w:rPr>
        <w:t xml:space="preserve"> and reporting years, thus </w:t>
      </w:r>
      <w:r w:rsidR="0013443D">
        <w:rPr>
          <w:rFonts w:eastAsia="Calibri" w:cstheme="minorHAnsi"/>
          <w:color w:val="4A4A4A"/>
          <w:sz w:val="21"/>
          <w:szCs w:val="21"/>
          <w:lang w:val="en-US" w:eastAsia="en-US"/>
        </w:rPr>
        <w:t>mitigating</w:t>
      </w:r>
      <w:r w:rsidRPr="00E43CC4">
        <w:rPr>
          <w:rFonts w:eastAsia="Calibri" w:cstheme="minorHAnsi"/>
          <w:color w:val="4A4A4A"/>
          <w:sz w:val="21"/>
          <w:szCs w:val="21"/>
          <w:lang w:val="en-US" w:eastAsia="en-US"/>
        </w:rPr>
        <w:t xml:space="preserve"> discrepancies between global and national figures. The reporting template requests that countries provide full </w:t>
      </w:r>
      <w:proofErr w:type="gramStart"/>
      <w:r w:rsidRPr="00E43CC4">
        <w:rPr>
          <w:rFonts w:eastAsia="Calibri" w:cstheme="minorHAnsi"/>
          <w:color w:val="4A4A4A"/>
          <w:sz w:val="21"/>
          <w:szCs w:val="21"/>
          <w:lang w:val="en-US" w:eastAsia="en-US"/>
        </w:rPr>
        <w:t>referenc</w:t>
      </w:r>
      <w:r w:rsidR="00250059">
        <w:rPr>
          <w:rFonts w:eastAsia="Calibri" w:cstheme="minorHAnsi"/>
          <w:color w:val="4A4A4A"/>
          <w:sz w:val="21"/>
          <w:szCs w:val="21"/>
          <w:lang w:val="en-US" w:eastAsia="en-US"/>
        </w:rPr>
        <w:t>ing</w:t>
      </w:r>
      <w:proofErr w:type="gramEnd"/>
      <w:r w:rsidRPr="00E43CC4">
        <w:rPr>
          <w:rFonts w:eastAsia="Calibri" w:cstheme="minorHAnsi"/>
          <w:color w:val="4A4A4A"/>
          <w:sz w:val="21"/>
          <w:szCs w:val="21"/>
          <w:lang w:val="en-US" w:eastAsia="en-US"/>
        </w:rPr>
        <w:t xml:space="preserve"> for original data sources</w:t>
      </w:r>
      <w:r w:rsidR="00250059">
        <w:rPr>
          <w:rFonts w:eastAsia="Calibri" w:cstheme="minorHAnsi"/>
          <w:color w:val="4A4A4A"/>
          <w:sz w:val="21"/>
          <w:szCs w:val="21"/>
          <w:lang w:val="en-US" w:eastAsia="en-US"/>
        </w:rPr>
        <w:t xml:space="preserve"> and for</w:t>
      </w:r>
      <w:r w:rsidRPr="00E43CC4">
        <w:rPr>
          <w:rFonts w:eastAsia="Calibri" w:cstheme="minorHAnsi"/>
          <w:color w:val="4A4A4A"/>
          <w:sz w:val="21"/>
          <w:szCs w:val="21"/>
          <w:lang w:val="en-US" w:eastAsia="en-US"/>
        </w:rPr>
        <w:t xml:space="preserve"> national definitions and terminology. Separate sections in the template country reports deal with the analysis of data (including any assumptions made and the methods used for estimates and projections to the common reporting years); calibration of data to the official land area as held by FAO; and reclassification of data to the classes used in FAO’s Global </w:t>
      </w:r>
      <w:proofErr w:type="gramStart"/>
      <w:r w:rsidRPr="00E43CC4">
        <w:rPr>
          <w:rFonts w:eastAsia="Calibri" w:cstheme="minorHAnsi"/>
          <w:color w:val="4A4A4A"/>
          <w:sz w:val="21"/>
          <w:szCs w:val="21"/>
          <w:lang w:val="en-US" w:eastAsia="en-US"/>
        </w:rPr>
        <w:t>Forest Resources</w:t>
      </w:r>
      <w:proofErr w:type="gramEnd"/>
      <w:r w:rsidRPr="00E43CC4">
        <w:rPr>
          <w:rFonts w:eastAsia="Calibri" w:cstheme="minorHAnsi"/>
          <w:color w:val="4A4A4A"/>
          <w:sz w:val="21"/>
          <w:szCs w:val="21"/>
          <w:lang w:val="en-US" w:eastAsia="en-US"/>
        </w:rPr>
        <w:t xml:space="preserve"> Assessments. </w:t>
      </w:r>
    </w:p>
    <w:p w14:paraId="1184BD3F" w14:textId="58AE7C38" w:rsidR="008D1DD3" w:rsidRPr="00E43CC4" w:rsidRDefault="00AB6635" w:rsidP="008D1DD3">
      <w:pPr>
        <w:autoSpaceDE w:val="0"/>
        <w:autoSpaceDN w:val="0"/>
        <w:adjustRightInd w:val="0"/>
        <w:spacing w:after="120"/>
        <w:rPr>
          <w:rFonts w:eastAsia="Calibri" w:cstheme="minorHAnsi"/>
          <w:color w:val="4A4A4A"/>
          <w:sz w:val="21"/>
          <w:szCs w:val="21"/>
          <w:lang w:val="en-US" w:eastAsia="en-US"/>
        </w:rPr>
      </w:pPr>
      <w:r>
        <w:rPr>
          <w:rFonts w:eastAsia="Calibri" w:cstheme="minorHAnsi"/>
          <w:color w:val="4A4A4A"/>
          <w:sz w:val="21"/>
          <w:szCs w:val="21"/>
          <w:lang w:val="en-US" w:eastAsia="en-US"/>
        </w:rPr>
        <w:t>T</w:t>
      </w:r>
      <w:r w:rsidR="008D1DD3" w:rsidRPr="00E43CC4">
        <w:rPr>
          <w:rFonts w:eastAsia="Calibri" w:cstheme="minorHAnsi"/>
          <w:color w:val="4A4A4A"/>
          <w:sz w:val="21"/>
          <w:szCs w:val="21"/>
          <w:lang w:val="en-US" w:eastAsia="en-US"/>
        </w:rPr>
        <w:t xml:space="preserve">he data on forest area under an independently verified forest management certification scheme </w:t>
      </w:r>
      <w:proofErr w:type="gramStart"/>
      <w:r w:rsidR="008D1DD3" w:rsidRPr="00E43CC4">
        <w:rPr>
          <w:rFonts w:eastAsia="Calibri" w:cstheme="minorHAnsi"/>
          <w:color w:val="4A4A4A"/>
          <w:sz w:val="21"/>
          <w:szCs w:val="21"/>
          <w:lang w:val="en-US" w:eastAsia="en-US"/>
        </w:rPr>
        <w:t>are</w:t>
      </w:r>
      <w:proofErr w:type="gramEnd"/>
      <w:r w:rsidR="008D1DD3" w:rsidRPr="00E43CC4">
        <w:rPr>
          <w:rFonts w:eastAsia="Calibri" w:cstheme="minorHAnsi"/>
          <w:color w:val="4A4A4A"/>
          <w:sz w:val="21"/>
          <w:szCs w:val="21"/>
          <w:lang w:val="en-US" w:eastAsia="en-US"/>
        </w:rPr>
        <w:t xml:space="preserve"> not</w:t>
      </w:r>
      <w:r w:rsidR="00F80F12">
        <w:rPr>
          <w:rFonts w:eastAsia="Calibri" w:cstheme="minorHAnsi"/>
          <w:color w:val="4A4A4A"/>
          <w:sz w:val="21"/>
          <w:szCs w:val="21"/>
          <w:lang w:val="en-US" w:eastAsia="en-US"/>
        </w:rPr>
        <w:t xml:space="preserve"> usually</w:t>
      </w:r>
      <w:r w:rsidR="008D1DD3" w:rsidRPr="00E43CC4">
        <w:rPr>
          <w:rFonts w:eastAsia="Calibri" w:cstheme="minorHAnsi"/>
          <w:color w:val="4A4A4A"/>
          <w:sz w:val="21"/>
          <w:szCs w:val="21"/>
          <w:lang w:val="en-US" w:eastAsia="en-US"/>
        </w:rPr>
        <w:t xml:space="preserve"> part of official national statistics and are</w:t>
      </w:r>
      <w:r w:rsidR="00F80F12">
        <w:rPr>
          <w:rFonts w:eastAsia="Calibri" w:cstheme="minorHAnsi"/>
          <w:color w:val="4A4A4A"/>
          <w:sz w:val="21"/>
          <w:szCs w:val="21"/>
          <w:lang w:val="en-US" w:eastAsia="en-US"/>
        </w:rPr>
        <w:t xml:space="preserve"> more typically</w:t>
      </w:r>
      <w:r w:rsidR="008D1DD3" w:rsidRPr="00E43CC4">
        <w:rPr>
          <w:rFonts w:eastAsia="Calibri" w:cstheme="minorHAnsi"/>
          <w:color w:val="4A4A4A"/>
          <w:sz w:val="21"/>
          <w:szCs w:val="21"/>
          <w:lang w:val="en-US" w:eastAsia="en-US"/>
        </w:rPr>
        <w:t xml:space="preserve"> maintained by</w:t>
      </w:r>
      <w:r>
        <w:rPr>
          <w:rFonts w:eastAsia="Calibri" w:cstheme="minorHAnsi"/>
          <w:color w:val="4A4A4A"/>
          <w:sz w:val="21"/>
          <w:szCs w:val="21"/>
          <w:lang w:val="en-US" w:eastAsia="en-US"/>
        </w:rPr>
        <w:t xml:space="preserve"> the</w:t>
      </w:r>
      <w:r w:rsidR="008D1DD3" w:rsidRPr="00E43CC4">
        <w:rPr>
          <w:rFonts w:eastAsia="Calibri" w:cstheme="minorHAnsi"/>
          <w:color w:val="4A4A4A"/>
          <w:sz w:val="21"/>
          <w:szCs w:val="21"/>
          <w:lang w:val="en-US" w:eastAsia="en-US"/>
        </w:rPr>
        <w:t xml:space="preserve"> local offices of the respective certification schemes. They in turn report their data to their head offices. </w:t>
      </w:r>
      <w:r w:rsidR="00A21C36">
        <w:rPr>
          <w:rFonts w:eastAsia="Calibri" w:cstheme="minorHAnsi"/>
          <w:color w:val="4A4A4A"/>
          <w:sz w:val="21"/>
          <w:szCs w:val="21"/>
          <w:lang w:val="en-US" w:eastAsia="en-US"/>
        </w:rPr>
        <w:t>C</w:t>
      </w:r>
      <w:r w:rsidR="008D1DD3" w:rsidRPr="00E43CC4">
        <w:rPr>
          <w:rFonts w:eastAsia="Calibri" w:cstheme="minorHAnsi"/>
          <w:color w:val="4A4A4A"/>
          <w:sz w:val="21"/>
          <w:szCs w:val="21"/>
          <w:lang w:val="en-US" w:eastAsia="en-US"/>
        </w:rPr>
        <w:t>ertified forest area is dynamic and can change monthly as some certificates expire and new certificates come. Therefore, the data are requested correspond</w:t>
      </w:r>
      <w:r w:rsidR="00A21C36">
        <w:rPr>
          <w:rFonts w:eastAsia="Calibri" w:cstheme="minorHAnsi"/>
          <w:color w:val="4A4A4A"/>
          <w:sz w:val="21"/>
          <w:szCs w:val="21"/>
          <w:lang w:val="en-US" w:eastAsia="en-US"/>
        </w:rPr>
        <w:t>ing</w:t>
      </w:r>
      <w:r w:rsidR="008D1DD3" w:rsidRPr="00E43CC4">
        <w:rPr>
          <w:rFonts w:eastAsia="Calibri" w:cstheme="minorHAnsi"/>
          <w:color w:val="4A4A4A"/>
          <w:sz w:val="21"/>
          <w:szCs w:val="21"/>
          <w:lang w:val="en-US" w:eastAsia="en-US"/>
        </w:rPr>
        <w:t xml:space="preserve"> to the end of June each year. </w:t>
      </w:r>
      <w:r w:rsidR="008D1DD3" w:rsidRPr="008431AD">
        <w:rPr>
          <w:color w:val="4A4A4A"/>
          <w:sz w:val="21"/>
          <w:lang w:val="en-US"/>
        </w:rPr>
        <w:t xml:space="preserve">However, data </w:t>
      </w:r>
      <w:proofErr w:type="gramStart"/>
      <w:r w:rsidR="008D1DD3" w:rsidRPr="008431AD">
        <w:rPr>
          <w:color w:val="4A4A4A"/>
          <w:sz w:val="21"/>
          <w:lang w:val="en-US"/>
        </w:rPr>
        <w:t>are</w:t>
      </w:r>
      <w:proofErr w:type="gramEnd"/>
      <w:r w:rsidR="008D1DD3" w:rsidRPr="008431AD">
        <w:rPr>
          <w:color w:val="4A4A4A"/>
          <w:sz w:val="21"/>
          <w:lang w:val="en-US"/>
        </w:rPr>
        <w:t xml:space="preserve"> not always reported by the local offices according to that date.</w:t>
      </w:r>
      <w:r w:rsidR="008D1DD3" w:rsidRPr="00E43CC4">
        <w:rPr>
          <w:rFonts w:eastAsia="Calibri" w:cstheme="minorHAnsi"/>
          <w:color w:val="4A4A4A"/>
          <w:sz w:val="21"/>
          <w:szCs w:val="21"/>
          <w:lang w:val="en-US" w:eastAsia="en-US"/>
        </w:rPr>
        <w:t xml:space="preserve"> </w:t>
      </w:r>
    </w:p>
    <w:p w14:paraId="5AB6DD91" w14:textId="28BB2B6C" w:rsidR="00F719A8" w:rsidRPr="00E43CC4" w:rsidRDefault="00F719A8" w:rsidP="00576CFA">
      <w:pPr>
        <w:pStyle w:val="MText"/>
        <w:rPr>
          <w:rFonts w:cstheme="minorHAnsi"/>
        </w:rPr>
      </w:pPr>
    </w:p>
    <w:p w14:paraId="76DF099C" w14:textId="703C09F1" w:rsidR="00382CF3" w:rsidRPr="00E43CC4" w:rsidRDefault="00576CFA" w:rsidP="000412A0">
      <w:pPr>
        <w:pStyle w:val="MHeader"/>
        <w:spacing w:after="100"/>
        <w:rPr>
          <w:rFonts w:cstheme="minorHAnsi"/>
        </w:rPr>
      </w:pPr>
      <w:r w:rsidRPr="00E43CC4">
        <w:rPr>
          <w:rFonts w:cstheme="minorHAnsi"/>
        </w:rPr>
        <w:t xml:space="preserve">7. References and Documentation </w:t>
      </w:r>
      <w:r>
        <w:rPr>
          <w:color w:val="B4B4B4"/>
          <w:sz w:val="20"/>
        </w:rPr>
        <w:t>(OTHER_DOC)</w:t>
      </w:r>
    </w:p>
    <w:p w14:paraId="17BE19E6" w14:textId="77777777" w:rsidR="004A64E4" w:rsidRDefault="004C2F9D" w:rsidP="004C2F9D">
      <w:pPr>
        <w:autoSpaceDE w:val="0"/>
        <w:autoSpaceDN w:val="0"/>
        <w:adjustRightInd w:val="0"/>
        <w:spacing w:after="0"/>
        <w:rPr>
          <w:b/>
          <w:color w:val="4A4A4A"/>
          <w:sz w:val="21"/>
          <w:lang w:val="en-US"/>
        </w:rPr>
      </w:pPr>
      <w:r w:rsidRPr="00957524">
        <w:rPr>
          <w:b/>
          <w:color w:val="4A4A4A"/>
          <w:sz w:val="21"/>
          <w:lang w:val="en-US"/>
        </w:rPr>
        <w:lastRenderedPageBreak/>
        <w:t xml:space="preserve">URL: </w:t>
      </w:r>
    </w:p>
    <w:p w14:paraId="540CF0E8" w14:textId="32C452C3" w:rsidR="004A64E4" w:rsidRDefault="004A64E4" w:rsidP="004C2F9D">
      <w:pPr>
        <w:autoSpaceDE w:val="0"/>
        <w:autoSpaceDN w:val="0"/>
        <w:adjustRightInd w:val="0"/>
        <w:spacing w:after="0"/>
        <w:rPr>
          <w:color w:val="0563C1"/>
          <w:sz w:val="21"/>
          <w:u w:val="single"/>
          <w:lang w:val="en-US"/>
        </w:rPr>
      </w:pPr>
      <w:hyperlink r:id="rId16" w:history="1">
        <w:r w:rsidRPr="004A64E4">
          <w:rPr>
            <w:rStyle w:val="Hyperlink"/>
            <w:sz w:val="21"/>
            <w:lang w:val="en-US"/>
          </w:rPr>
          <w:t>http://www.fao.org/forest-resources-assessment/</w:t>
        </w:r>
      </w:hyperlink>
    </w:p>
    <w:p w14:paraId="4C87B2D8" w14:textId="7787BD15" w:rsidR="004A64E4" w:rsidRDefault="004A64E4" w:rsidP="004C2F9D">
      <w:pPr>
        <w:autoSpaceDE w:val="0"/>
        <w:autoSpaceDN w:val="0"/>
        <w:adjustRightInd w:val="0"/>
        <w:spacing w:after="0"/>
        <w:rPr>
          <w:color w:val="000000"/>
          <w:sz w:val="21"/>
          <w:lang w:val="en-US"/>
        </w:rPr>
      </w:pPr>
      <w:hyperlink r:id="rId17" w:history="1">
        <w:r w:rsidRPr="004E7629">
          <w:rPr>
            <w:rStyle w:val="Hyperlink"/>
            <w:sz w:val="21"/>
            <w:lang w:val="en-US"/>
          </w:rPr>
          <w:t>https://fra-data.fao.org/</w:t>
        </w:r>
      </w:hyperlink>
    </w:p>
    <w:p w14:paraId="265EDD2D" w14:textId="1AD73136" w:rsidR="004C2F9D" w:rsidRPr="00957524" w:rsidRDefault="004C2F9D" w:rsidP="004C2F9D">
      <w:pPr>
        <w:autoSpaceDE w:val="0"/>
        <w:autoSpaceDN w:val="0"/>
        <w:adjustRightInd w:val="0"/>
        <w:spacing w:after="0"/>
        <w:rPr>
          <w:color w:val="000000"/>
          <w:sz w:val="21"/>
          <w:lang w:val="en-US"/>
        </w:rPr>
      </w:pPr>
      <w:r w:rsidRPr="00957524">
        <w:rPr>
          <w:color w:val="000000"/>
          <w:sz w:val="21"/>
          <w:lang w:val="en-US"/>
        </w:rPr>
        <w:t xml:space="preserve">  </w:t>
      </w:r>
    </w:p>
    <w:p w14:paraId="2057CBE9" w14:textId="77777777" w:rsidR="004C2F9D" w:rsidRPr="00957524" w:rsidRDefault="004C2F9D" w:rsidP="004C2F9D">
      <w:pPr>
        <w:autoSpaceDE w:val="0"/>
        <w:autoSpaceDN w:val="0"/>
        <w:adjustRightInd w:val="0"/>
        <w:spacing w:after="0"/>
        <w:rPr>
          <w:color w:val="4A4A4A"/>
          <w:sz w:val="21"/>
          <w:lang w:val="en-US"/>
        </w:rPr>
      </w:pPr>
    </w:p>
    <w:p w14:paraId="633664D6" w14:textId="77777777" w:rsidR="004C2F9D" w:rsidRPr="00957524" w:rsidRDefault="004C2F9D" w:rsidP="004C2F9D">
      <w:pPr>
        <w:shd w:val="clear" w:color="auto" w:fill="FFFFFF"/>
        <w:spacing w:after="0" w:line="256" w:lineRule="auto"/>
        <w:contextualSpacing/>
        <w:rPr>
          <w:color w:val="4A4A4A"/>
          <w:sz w:val="21"/>
          <w:lang w:val="en-US"/>
        </w:rPr>
      </w:pPr>
      <w:r w:rsidRPr="00957524">
        <w:rPr>
          <w:b/>
          <w:color w:val="4A4A4A"/>
          <w:sz w:val="21"/>
          <w:lang w:val="en-US"/>
        </w:rPr>
        <w:t>References:</w:t>
      </w:r>
    </w:p>
    <w:p w14:paraId="14517DBF" w14:textId="30A7C740" w:rsidR="009F303F" w:rsidRPr="00957524" w:rsidRDefault="007E3A68" w:rsidP="00E43CC4">
      <w:pPr>
        <w:shd w:val="clear" w:color="auto" w:fill="FFFFFF"/>
        <w:spacing w:after="0" w:line="256" w:lineRule="auto"/>
        <w:contextualSpacing/>
        <w:rPr>
          <w:color w:val="4A4A4A"/>
          <w:sz w:val="21"/>
          <w:lang w:val="en-US"/>
        </w:rPr>
      </w:pPr>
      <w:bookmarkStart w:id="6" w:name="_Hlk95146474"/>
      <w:r>
        <w:rPr>
          <w:color w:val="4A4A4A"/>
          <w:sz w:val="21"/>
          <w:lang w:val="en-US"/>
        </w:rPr>
        <w:t xml:space="preserve">Convention on Biological Diversity (CBD). </w:t>
      </w:r>
      <w:r w:rsidR="00490CA3">
        <w:rPr>
          <w:color w:val="4A4A4A"/>
          <w:sz w:val="21"/>
          <w:lang w:val="en-US"/>
        </w:rPr>
        <w:t xml:space="preserve">2022. </w:t>
      </w:r>
      <w:r w:rsidR="00955559" w:rsidRPr="00EA430B">
        <w:rPr>
          <w:i/>
          <w:iCs/>
          <w:color w:val="4A4A4A"/>
          <w:sz w:val="21"/>
          <w:lang w:val="en-US"/>
        </w:rPr>
        <w:t>Decision adopted by the Conference of the Parties to the Convention on Biological Diversity</w:t>
      </w:r>
      <w:r w:rsidR="00490CA3" w:rsidRPr="00EA430B">
        <w:rPr>
          <w:i/>
          <w:iCs/>
          <w:color w:val="4A4A4A"/>
          <w:sz w:val="21"/>
          <w:lang w:val="en-US"/>
        </w:rPr>
        <w:t>. CDD/COP/DEC/15/4</w:t>
      </w:r>
      <w:r w:rsidR="00955559">
        <w:rPr>
          <w:color w:val="4A4A4A"/>
          <w:sz w:val="21"/>
          <w:lang w:val="en-US"/>
        </w:rPr>
        <w:t xml:space="preserve"> </w:t>
      </w:r>
      <w:r w:rsidR="009F303F">
        <w:rPr>
          <w:color w:val="4A4A4A"/>
          <w:sz w:val="21"/>
          <w:lang w:val="en-US"/>
        </w:rPr>
        <w:t>(</w:t>
      </w:r>
      <w:r w:rsidR="009F303F" w:rsidRPr="009F303F">
        <w:rPr>
          <w:color w:val="4A4A4A"/>
          <w:sz w:val="21"/>
          <w:lang w:val="en-US"/>
        </w:rPr>
        <w:t>https://www.cbd.int/doc/decisions/cop-15/cop-15-dec-04-en.pdf</w:t>
      </w:r>
      <w:r w:rsidR="009F303F">
        <w:rPr>
          <w:color w:val="4A4A4A"/>
          <w:sz w:val="21"/>
          <w:lang w:val="en-US"/>
        </w:rPr>
        <w:t>)</w:t>
      </w:r>
    </w:p>
    <w:p w14:paraId="420E4597" w14:textId="5E76DF69" w:rsidR="00AD1AC8" w:rsidRPr="00CC739B" w:rsidRDefault="00432CCC" w:rsidP="00AD1AC8">
      <w:pPr>
        <w:shd w:val="clear" w:color="auto" w:fill="FFFFFF"/>
        <w:spacing w:line="256" w:lineRule="auto"/>
        <w:contextualSpacing/>
        <w:rPr>
          <w:rFonts w:eastAsia="Calibri" w:cstheme="minorHAnsi"/>
          <w:color w:val="4A4A4A"/>
          <w:sz w:val="21"/>
          <w:szCs w:val="21"/>
          <w:lang w:val="en-US" w:eastAsia="en-US"/>
        </w:rPr>
      </w:pPr>
      <w:r>
        <w:rPr>
          <w:rFonts w:eastAsia="Calibri" w:cstheme="minorHAnsi"/>
          <w:color w:val="4A4A4A"/>
          <w:sz w:val="21"/>
          <w:szCs w:val="21"/>
          <w:lang w:val="en-US" w:eastAsia="en-US"/>
        </w:rPr>
        <w:t xml:space="preserve">FAO. 2023. </w:t>
      </w:r>
      <w:r w:rsidR="0021071D" w:rsidRPr="002449B6">
        <w:rPr>
          <w:i/>
          <w:color w:val="4A4A4A"/>
          <w:sz w:val="21"/>
          <w:lang w:val="en-US"/>
        </w:rPr>
        <w:t>Global Forest Resources Assessment</w:t>
      </w:r>
      <w:r w:rsidR="003605A2" w:rsidRPr="002449B6">
        <w:rPr>
          <w:i/>
          <w:color w:val="4A4A4A"/>
          <w:sz w:val="21"/>
          <w:lang w:val="en-US"/>
        </w:rPr>
        <w:t xml:space="preserve"> </w:t>
      </w:r>
      <w:r w:rsidR="003605A2" w:rsidRPr="007E3A68">
        <w:rPr>
          <w:rFonts w:eastAsia="Calibri" w:cstheme="minorHAnsi"/>
          <w:i/>
          <w:iCs/>
          <w:color w:val="4A4A4A"/>
          <w:sz w:val="21"/>
          <w:szCs w:val="21"/>
          <w:lang w:val="en-US" w:eastAsia="en-US"/>
        </w:rPr>
        <w:t>– FRA 2025</w:t>
      </w:r>
      <w:proofErr w:type="gramStart"/>
      <w:r w:rsidR="00041760" w:rsidRPr="00EA430B">
        <w:rPr>
          <w:rFonts w:eastAsia="Calibri" w:cstheme="minorHAnsi"/>
          <w:i/>
          <w:iCs/>
          <w:color w:val="4A4A4A"/>
          <w:sz w:val="21"/>
          <w:szCs w:val="21"/>
          <w:lang w:val="en-US" w:eastAsia="en-US"/>
        </w:rPr>
        <w:t xml:space="preserve">- </w:t>
      </w:r>
      <w:r w:rsidR="0021071D" w:rsidRPr="002449B6">
        <w:rPr>
          <w:i/>
          <w:color w:val="4A4A4A"/>
          <w:sz w:val="21"/>
          <w:lang w:val="en-US"/>
        </w:rPr>
        <w:t xml:space="preserve"> </w:t>
      </w:r>
      <w:r w:rsidR="007A7EFD" w:rsidRPr="002449B6">
        <w:rPr>
          <w:i/>
          <w:color w:val="4A4A4A"/>
          <w:sz w:val="21"/>
          <w:lang w:val="en-US"/>
        </w:rPr>
        <w:t>Guidelines</w:t>
      </w:r>
      <w:proofErr w:type="gramEnd"/>
      <w:r w:rsidR="007A7EFD" w:rsidRPr="002449B6">
        <w:rPr>
          <w:i/>
          <w:color w:val="4A4A4A"/>
          <w:sz w:val="21"/>
          <w:lang w:val="en-US"/>
        </w:rPr>
        <w:t xml:space="preserve"> and Specifications</w:t>
      </w:r>
      <w:r w:rsidR="00AD1AC8">
        <w:rPr>
          <w:rFonts w:eastAsia="Calibri" w:cstheme="minorHAnsi"/>
          <w:color w:val="4A4A4A"/>
          <w:sz w:val="21"/>
          <w:szCs w:val="21"/>
          <w:lang w:val="en-US" w:eastAsia="en-US"/>
        </w:rPr>
        <w:t xml:space="preserve">.  </w:t>
      </w:r>
      <w:r w:rsidR="00AD1AC8" w:rsidRPr="00CC739B">
        <w:rPr>
          <w:rFonts w:eastAsia="Calibri" w:cstheme="minorHAnsi"/>
          <w:color w:val="4A4A4A"/>
          <w:sz w:val="21"/>
          <w:szCs w:val="21"/>
          <w:lang w:val="en-US" w:eastAsia="en-US"/>
        </w:rPr>
        <w:t>Forest Resources Assessment Working Paper No.193</w:t>
      </w:r>
      <w:r w:rsidR="00AD1AC8">
        <w:rPr>
          <w:rFonts w:eastAsia="Calibri" w:cstheme="minorHAnsi"/>
          <w:color w:val="4A4A4A"/>
          <w:sz w:val="21"/>
          <w:szCs w:val="21"/>
          <w:lang w:val="en-US" w:eastAsia="en-US"/>
        </w:rPr>
        <w:t>. Rome.</w:t>
      </w:r>
    </w:p>
    <w:p w14:paraId="6B07129B" w14:textId="1165B96E" w:rsidR="007A7EFD" w:rsidRDefault="00AD1AC8" w:rsidP="00AD1AC8">
      <w:pPr>
        <w:shd w:val="clear" w:color="auto" w:fill="FFFFFF"/>
        <w:spacing w:after="0" w:line="256" w:lineRule="auto"/>
        <w:contextualSpacing/>
        <w:rPr>
          <w:rFonts w:eastAsia="Calibri" w:cstheme="minorHAnsi"/>
          <w:color w:val="4A4A4A"/>
          <w:sz w:val="21"/>
          <w:szCs w:val="21"/>
          <w:lang w:val="en-US" w:eastAsia="en-US"/>
        </w:rPr>
      </w:pPr>
      <w:r w:rsidRPr="00E43CC4">
        <w:rPr>
          <w:rFonts w:eastAsia="Calibri" w:cstheme="minorHAnsi"/>
          <w:color w:val="4A4A4A"/>
          <w:sz w:val="21"/>
          <w:szCs w:val="21"/>
          <w:lang w:val="en-US" w:eastAsia="en-US"/>
        </w:rPr>
        <w:t xml:space="preserve"> </w:t>
      </w:r>
      <w:r w:rsidRPr="00E43CC4">
        <w:rPr>
          <w:rFonts w:eastAsia="Calibri" w:cstheme="minorHAnsi"/>
          <w:color w:val="000000"/>
          <w:sz w:val="21"/>
          <w:szCs w:val="21"/>
          <w:lang w:val="en-US" w:eastAsia="en-US"/>
        </w:rPr>
        <w:t>(</w:t>
      </w:r>
      <w:hyperlink r:id="rId18" w:history="1">
        <w:r w:rsidRPr="003103CB">
          <w:rPr>
            <w:rStyle w:val="Hyperlink"/>
            <w:rFonts w:eastAsia="Calibri" w:cstheme="minorHAnsi"/>
            <w:sz w:val="21"/>
            <w:szCs w:val="21"/>
            <w:lang w:eastAsia="en-US"/>
          </w:rPr>
          <w:t>https://openknowledge.fao.org/handle/20.500.14283/cc4690en</w:t>
        </w:r>
      </w:hyperlink>
      <w:r w:rsidR="007A7EFD" w:rsidRPr="00E43CC4">
        <w:rPr>
          <w:rFonts w:eastAsia="Calibri" w:cstheme="minorHAnsi"/>
          <w:color w:val="000000"/>
          <w:sz w:val="21"/>
          <w:szCs w:val="21"/>
          <w:lang w:val="en-US" w:eastAsia="en-US"/>
        </w:rPr>
        <w:t>)</w:t>
      </w:r>
    </w:p>
    <w:p w14:paraId="070D23B8" w14:textId="77777777" w:rsidR="007A7EFD" w:rsidRDefault="007A7EFD" w:rsidP="00E43CC4">
      <w:pPr>
        <w:shd w:val="clear" w:color="auto" w:fill="FFFFFF"/>
        <w:spacing w:after="0" w:line="256" w:lineRule="auto"/>
        <w:contextualSpacing/>
        <w:rPr>
          <w:rFonts w:eastAsia="Calibri" w:cstheme="minorHAnsi"/>
          <w:color w:val="4A4A4A"/>
          <w:sz w:val="21"/>
          <w:szCs w:val="21"/>
          <w:lang w:val="en-US" w:eastAsia="en-US"/>
        </w:rPr>
      </w:pPr>
    </w:p>
    <w:p w14:paraId="7D51849F" w14:textId="15A8D165" w:rsidR="009C5EE2" w:rsidRDefault="005A3FC3" w:rsidP="009C5EE2">
      <w:pPr>
        <w:shd w:val="clear" w:color="auto" w:fill="FFFFFF"/>
        <w:spacing w:after="0" w:line="256" w:lineRule="auto"/>
        <w:contextualSpacing/>
        <w:rPr>
          <w:rFonts w:eastAsia="Calibri" w:cstheme="minorHAnsi"/>
          <w:color w:val="4A4A4A"/>
          <w:sz w:val="21"/>
          <w:szCs w:val="21"/>
          <w:lang w:val="en-US" w:eastAsia="en-US"/>
        </w:rPr>
      </w:pPr>
      <w:r>
        <w:rPr>
          <w:rFonts w:eastAsia="Calibri" w:cstheme="minorHAnsi"/>
          <w:color w:val="4A4A4A"/>
          <w:sz w:val="21"/>
          <w:szCs w:val="21"/>
          <w:lang w:val="en-US" w:eastAsia="en-US"/>
        </w:rPr>
        <w:t xml:space="preserve">FAO. 2023. </w:t>
      </w:r>
      <w:r w:rsidR="0021071D" w:rsidRPr="002449B6">
        <w:rPr>
          <w:i/>
          <w:color w:val="4A4A4A"/>
          <w:sz w:val="21"/>
          <w:lang w:val="en-US"/>
        </w:rPr>
        <w:t xml:space="preserve">Global Forest Resources Assessment </w:t>
      </w:r>
      <w:r w:rsidR="004F66F8" w:rsidRPr="007E3A68">
        <w:rPr>
          <w:rFonts w:eastAsia="Calibri" w:cstheme="minorHAnsi"/>
          <w:i/>
          <w:iCs/>
          <w:color w:val="4A4A4A"/>
          <w:sz w:val="21"/>
          <w:szCs w:val="21"/>
          <w:lang w:val="en-US" w:eastAsia="en-US"/>
        </w:rPr>
        <w:t>– FRA 2025 -</w:t>
      </w:r>
      <w:r w:rsidR="0021071D" w:rsidRPr="002449B6">
        <w:rPr>
          <w:i/>
          <w:color w:val="4A4A4A"/>
          <w:sz w:val="21"/>
          <w:lang w:val="en-US"/>
        </w:rPr>
        <w:t xml:space="preserve"> </w:t>
      </w:r>
      <w:r w:rsidR="007A7EFD" w:rsidRPr="002449B6">
        <w:rPr>
          <w:i/>
          <w:color w:val="4A4A4A"/>
          <w:sz w:val="21"/>
          <w:lang w:val="en-US"/>
        </w:rPr>
        <w:t>Terms and Definitions</w:t>
      </w:r>
      <w:r w:rsidR="009C5EE2">
        <w:rPr>
          <w:rFonts w:eastAsia="Calibri" w:cstheme="minorHAnsi"/>
          <w:color w:val="4A4A4A"/>
          <w:sz w:val="21"/>
          <w:szCs w:val="21"/>
          <w:lang w:val="en-US" w:eastAsia="en-US"/>
        </w:rPr>
        <w:t xml:space="preserve">. </w:t>
      </w:r>
      <w:r w:rsidR="009C5EE2" w:rsidRPr="00F33689">
        <w:rPr>
          <w:rFonts w:eastAsia="Calibri" w:cstheme="minorHAnsi"/>
          <w:color w:val="4A4A4A"/>
          <w:sz w:val="21"/>
          <w:szCs w:val="21"/>
          <w:lang w:val="en-US" w:eastAsia="en-US"/>
        </w:rPr>
        <w:t>Forest Resources Assessment Working Paper No.194</w:t>
      </w:r>
      <w:r w:rsidR="009C5EE2">
        <w:rPr>
          <w:rFonts w:eastAsia="Calibri" w:cstheme="minorHAnsi"/>
          <w:color w:val="4A4A4A"/>
          <w:sz w:val="21"/>
          <w:szCs w:val="21"/>
          <w:lang w:val="en-US" w:eastAsia="en-US"/>
        </w:rPr>
        <w:t>. Rome.</w:t>
      </w:r>
    </w:p>
    <w:p w14:paraId="404AFC50" w14:textId="285FDF36" w:rsidR="007A7EFD" w:rsidRDefault="009C5EE2" w:rsidP="009C5EE2">
      <w:pPr>
        <w:shd w:val="clear" w:color="auto" w:fill="FFFFFF"/>
        <w:spacing w:after="0" w:line="256" w:lineRule="auto"/>
        <w:contextualSpacing/>
        <w:rPr>
          <w:rFonts w:eastAsia="Calibri" w:cstheme="minorHAnsi"/>
          <w:color w:val="000000"/>
          <w:sz w:val="21"/>
          <w:szCs w:val="21"/>
          <w:lang w:val="en-US" w:eastAsia="en-US"/>
        </w:rPr>
      </w:pPr>
      <w:r w:rsidRPr="009C5EE2">
        <w:rPr>
          <w:rFonts w:eastAsia="Calibri" w:cstheme="minorHAnsi"/>
          <w:color w:val="000000"/>
          <w:sz w:val="21"/>
          <w:szCs w:val="21"/>
          <w:lang w:val="en-US" w:eastAsia="en-US"/>
        </w:rPr>
        <w:t>(</w:t>
      </w:r>
      <w:hyperlink r:id="rId19" w:history="1">
        <w:r w:rsidRPr="00EA430B">
          <w:rPr>
            <w:rStyle w:val="Hyperlink"/>
            <w:sz w:val="21"/>
            <w:szCs w:val="21"/>
          </w:rPr>
          <w:t>https://openknowledge.fao.org/handle/20.500.14283/cc4691en</w:t>
        </w:r>
      </w:hyperlink>
      <w:hyperlink r:id="rId20" w:history="1"/>
      <w:r w:rsidR="007A7EFD" w:rsidRPr="00E43CC4">
        <w:rPr>
          <w:rFonts w:eastAsia="Calibri" w:cstheme="minorHAnsi"/>
          <w:color w:val="000000"/>
          <w:sz w:val="21"/>
          <w:szCs w:val="21"/>
          <w:lang w:val="en-US" w:eastAsia="en-US"/>
        </w:rPr>
        <w:t>).</w:t>
      </w:r>
    </w:p>
    <w:p w14:paraId="0CC57EA0" w14:textId="2F151D3A" w:rsidR="00621790" w:rsidRDefault="00621790" w:rsidP="00E43CC4">
      <w:pPr>
        <w:shd w:val="clear" w:color="auto" w:fill="FFFFFF"/>
        <w:spacing w:after="0" w:line="256" w:lineRule="auto"/>
        <w:contextualSpacing/>
        <w:rPr>
          <w:rFonts w:eastAsia="Calibri" w:cstheme="minorHAnsi"/>
          <w:color w:val="000000"/>
          <w:sz w:val="21"/>
          <w:szCs w:val="21"/>
          <w:lang w:val="en-US" w:eastAsia="en-US"/>
        </w:rPr>
      </w:pPr>
    </w:p>
    <w:p w14:paraId="580EF7A9" w14:textId="0607F222" w:rsidR="00621790" w:rsidRDefault="00621790" w:rsidP="00E43CC4">
      <w:pPr>
        <w:shd w:val="clear" w:color="auto" w:fill="FFFFFF"/>
        <w:spacing w:after="0" w:line="256" w:lineRule="auto"/>
        <w:contextualSpacing/>
        <w:rPr>
          <w:rFonts w:eastAsia="Calibri" w:cstheme="minorHAnsi"/>
          <w:color w:val="000000"/>
          <w:sz w:val="21"/>
          <w:szCs w:val="21"/>
          <w:lang w:val="en-US" w:eastAsia="en-US"/>
        </w:rPr>
      </w:pPr>
      <w:r>
        <w:rPr>
          <w:rFonts w:eastAsia="Calibri" w:cstheme="minorHAnsi"/>
          <w:color w:val="000000"/>
          <w:sz w:val="21"/>
          <w:szCs w:val="21"/>
          <w:lang w:val="en-US" w:eastAsia="en-US"/>
        </w:rPr>
        <w:t xml:space="preserve">United Nations. </w:t>
      </w:r>
      <w:r w:rsidRPr="002449B6">
        <w:rPr>
          <w:i/>
          <w:color w:val="000000"/>
          <w:sz w:val="21"/>
          <w:lang w:val="en-US"/>
        </w:rPr>
        <w:t>Resolution adopted by the General Assembly on 17 December 2007</w:t>
      </w:r>
      <w:r w:rsidR="007E3A68">
        <w:rPr>
          <w:rFonts w:eastAsia="Calibri" w:cstheme="minorHAnsi"/>
          <w:i/>
          <w:iCs/>
          <w:color w:val="000000"/>
          <w:sz w:val="21"/>
          <w:szCs w:val="21"/>
          <w:lang w:val="en-US" w:eastAsia="en-US"/>
        </w:rPr>
        <w:t>.</w:t>
      </w:r>
      <w:r>
        <w:rPr>
          <w:rFonts w:eastAsia="Calibri" w:cstheme="minorHAnsi"/>
          <w:color w:val="000000"/>
          <w:sz w:val="21"/>
          <w:szCs w:val="21"/>
          <w:lang w:val="en-US" w:eastAsia="en-US"/>
        </w:rPr>
        <w:t xml:space="preserve"> (</w:t>
      </w:r>
      <w:hyperlink r:id="rId21" w:history="1">
        <w:r w:rsidRPr="00F36B3D">
          <w:rPr>
            <w:rStyle w:val="Hyperlink"/>
            <w:rFonts w:eastAsia="Calibri" w:cstheme="minorHAnsi"/>
            <w:sz w:val="21"/>
            <w:szCs w:val="21"/>
            <w:lang w:val="en-US" w:eastAsia="en-US"/>
          </w:rPr>
          <w:t>https://undocs.org/en/A/RES/62/98</w:t>
        </w:r>
      </w:hyperlink>
      <w:r>
        <w:rPr>
          <w:rFonts w:eastAsia="Calibri" w:cstheme="minorHAnsi"/>
          <w:color w:val="000000"/>
          <w:sz w:val="21"/>
          <w:szCs w:val="21"/>
          <w:lang w:val="en-US" w:eastAsia="en-US"/>
        </w:rPr>
        <w:t xml:space="preserve">). </w:t>
      </w:r>
    </w:p>
    <w:p w14:paraId="348BDCF8" w14:textId="77777777" w:rsidR="009F303F" w:rsidRDefault="009F303F" w:rsidP="00E43CC4">
      <w:pPr>
        <w:shd w:val="clear" w:color="auto" w:fill="FFFFFF"/>
        <w:spacing w:after="0" w:line="256" w:lineRule="auto"/>
        <w:contextualSpacing/>
        <w:rPr>
          <w:rFonts w:eastAsia="Calibri" w:cstheme="minorHAnsi"/>
          <w:color w:val="000000"/>
          <w:sz w:val="21"/>
          <w:szCs w:val="21"/>
          <w:lang w:val="en-US" w:eastAsia="en-US"/>
        </w:rPr>
      </w:pPr>
    </w:p>
    <w:p w14:paraId="1E046996" w14:textId="77777777" w:rsidR="009F303F" w:rsidRDefault="009F303F" w:rsidP="00E43CC4">
      <w:pPr>
        <w:shd w:val="clear" w:color="auto" w:fill="FFFFFF"/>
        <w:spacing w:after="0" w:line="256" w:lineRule="auto"/>
        <w:contextualSpacing/>
        <w:rPr>
          <w:rFonts w:eastAsia="Calibri" w:cstheme="minorHAnsi"/>
          <w:color w:val="000000"/>
          <w:sz w:val="21"/>
          <w:szCs w:val="21"/>
          <w:lang w:val="en-US" w:eastAsia="en-US"/>
        </w:rPr>
      </w:pPr>
    </w:p>
    <w:bookmarkEnd w:id="6"/>
    <w:p w14:paraId="7CF67452" w14:textId="15D96A53" w:rsidR="007A7EFD" w:rsidRDefault="007A7EFD">
      <w:pPr>
        <w:rPr>
          <w:rFonts w:eastAsia="Calibri" w:cstheme="minorHAnsi"/>
          <w:color w:val="000000"/>
          <w:sz w:val="21"/>
          <w:szCs w:val="21"/>
          <w:lang w:val="en-US" w:eastAsia="en-US"/>
        </w:rPr>
      </w:pPr>
      <w:r>
        <w:rPr>
          <w:rFonts w:eastAsia="Calibri" w:cstheme="minorHAnsi"/>
          <w:color w:val="000000"/>
          <w:sz w:val="21"/>
          <w:szCs w:val="21"/>
          <w:lang w:val="en-US" w:eastAsia="en-US"/>
        </w:rPr>
        <w:br w:type="page"/>
      </w:r>
    </w:p>
    <w:p w14:paraId="68EF9932" w14:textId="44AF45B2" w:rsidR="007A7EFD" w:rsidRPr="00282BF7" w:rsidRDefault="007A7EFD" w:rsidP="007A7EFD">
      <w:pPr>
        <w:rPr>
          <w:rFonts w:cstheme="minorHAnsi"/>
          <w:b/>
          <w:sz w:val="28"/>
        </w:rPr>
      </w:pPr>
      <w:r w:rsidRPr="00282BF7">
        <w:rPr>
          <w:rFonts w:cstheme="minorHAnsi"/>
          <w:b/>
          <w:sz w:val="28"/>
        </w:rPr>
        <w:lastRenderedPageBreak/>
        <w:t xml:space="preserve">Annex 1 – Terms and Definitions </w:t>
      </w:r>
    </w:p>
    <w:p w14:paraId="4AD51397" w14:textId="77777777" w:rsidR="007A7EFD" w:rsidRPr="00282BF7" w:rsidRDefault="007A7EFD" w:rsidP="007A7EFD">
      <w:pPr>
        <w:rPr>
          <w:rFonts w:cstheme="minorHAnsi"/>
        </w:rPr>
      </w:pPr>
    </w:p>
    <w:p w14:paraId="6B5D6E6E" w14:textId="77777777" w:rsidR="007A7EFD" w:rsidRPr="00282BF7" w:rsidRDefault="007A7EFD" w:rsidP="007A7EFD">
      <w:pPr>
        <w:snapToGrid w:val="0"/>
        <w:rPr>
          <w:rFonts w:cstheme="minorHAnsi"/>
          <w:b/>
          <w:color w:val="365F91" w:themeColor="accent1" w:themeShade="BF"/>
          <w:sz w:val="20"/>
          <w:szCs w:val="20"/>
        </w:rPr>
      </w:pPr>
      <w:r w:rsidRPr="00282BF7">
        <w:rPr>
          <w:rFonts w:cstheme="minorHAnsi"/>
          <w:b/>
          <w:color w:val="365F91" w:themeColor="accent1" w:themeShade="BF"/>
          <w:sz w:val="20"/>
          <w:szCs w:val="20"/>
        </w:rPr>
        <w:t>FOREST</w:t>
      </w:r>
    </w:p>
    <w:p w14:paraId="7A626559" w14:textId="77777777" w:rsidR="007A7EFD" w:rsidRPr="009F1A9E" w:rsidRDefault="007A7EFD" w:rsidP="007A7EFD">
      <w:pPr>
        <w:spacing w:before="240" w:after="240"/>
        <w:rPr>
          <w:color w:val="000000"/>
          <w:sz w:val="21"/>
        </w:rPr>
      </w:pPr>
      <w:r w:rsidRPr="009F1A9E">
        <w:rPr>
          <w:color w:val="000000"/>
          <w:sz w:val="21"/>
        </w:rPr>
        <w:t xml:space="preserve">Land spanning more than 0.5 hectares with </w:t>
      </w:r>
      <w:r w:rsidRPr="009F1A9E">
        <w:rPr>
          <w:color w:val="000000"/>
          <w:sz w:val="21"/>
          <w:u w:val="single"/>
        </w:rPr>
        <w:t>tree</w:t>
      </w:r>
      <w:r w:rsidRPr="009F1A9E">
        <w:rPr>
          <w:color w:val="000000"/>
          <w:sz w:val="21"/>
        </w:rPr>
        <w:t xml:space="preserve">s higher than 5 meters and a </w:t>
      </w:r>
      <w:r w:rsidRPr="009F1A9E">
        <w:rPr>
          <w:color w:val="000000"/>
          <w:sz w:val="21"/>
          <w:u w:val="single"/>
        </w:rPr>
        <w:t>canopy cover</w:t>
      </w:r>
      <w:r w:rsidRPr="009F1A9E">
        <w:rPr>
          <w:color w:val="000000"/>
          <w:sz w:val="21"/>
        </w:rPr>
        <w:t xml:space="preserve"> of more than 10 percent, or trees able to reach these thresholds </w:t>
      </w:r>
      <w:r w:rsidRPr="009F1A9E">
        <w:rPr>
          <w:i/>
          <w:color w:val="000000"/>
          <w:sz w:val="21"/>
        </w:rPr>
        <w:t>in situ</w:t>
      </w:r>
      <w:r w:rsidRPr="009F1A9E">
        <w:rPr>
          <w:color w:val="000000"/>
          <w:sz w:val="21"/>
        </w:rPr>
        <w:t xml:space="preserve">. It does not include land that is predominantly under agricultural or urban land use. </w:t>
      </w:r>
    </w:p>
    <w:p w14:paraId="2BD6FD0C" w14:textId="77777777" w:rsidR="007A7EFD" w:rsidRPr="00C71032" w:rsidRDefault="007A7EFD" w:rsidP="007A7EFD">
      <w:pPr>
        <w:rPr>
          <w:rFonts w:cstheme="minorHAnsi"/>
          <w:sz w:val="18"/>
          <w:szCs w:val="18"/>
          <w:u w:val="single"/>
        </w:rPr>
      </w:pPr>
      <w:r w:rsidRPr="00C71032">
        <w:rPr>
          <w:rFonts w:cstheme="minorHAnsi"/>
          <w:sz w:val="18"/>
          <w:szCs w:val="18"/>
          <w:u w:val="single"/>
        </w:rPr>
        <w:t>Explanatory notes</w:t>
      </w:r>
    </w:p>
    <w:p w14:paraId="71B6769F" w14:textId="412696C6"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5378FC">
        <w:rPr>
          <w:rFonts w:cstheme="minorHAnsi"/>
          <w:sz w:val="18"/>
          <w:szCs w:val="18"/>
        </w:rPr>
        <w:t>Forest is determined both by the presence of trees and the absence of other predominant land uses. The trees should be able to reach a minimum height of 5 meters</w:t>
      </w:r>
      <w:r w:rsidR="00315901">
        <w:rPr>
          <w:rFonts w:cstheme="minorHAnsi"/>
          <w:sz w:val="18"/>
          <w:szCs w:val="18"/>
        </w:rPr>
        <w:t xml:space="preserve"> </w:t>
      </w:r>
      <w:r w:rsidR="00315901" w:rsidRPr="002449B6">
        <w:rPr>
          <w:rFonts w:cstheme="minorHAnsi"/>
          <w:i/>
          <w:iCs/>
          <w:sz w:val="18"/>
          <w:szCs w:val="18"/>
        </w:rPr>
        <w:t>in situ</w:t>
      </w:r>
      <w:r w:rsidRPr="005378FC">
        <w:rPr>
          <w:rFonts w:cstheme="minorHAnsi"/>
          <w:sz w:val="18"/>
          <w:szCs w:val="18"/>
        </w:rPr>
        <w:t xml:space="preserve">. </w:t>
      </w:r>
    </w:p>
    <w:p w14:paraId="7FF1939D" w14:textId="3A1F126A"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Includes areas with young trees that have not yet reached but which are expected to reach a canopy cover of 10 percent and tree height of 5 meters. It also includes areas that are temporarily unstocked due to clear-cutting as part of a forest management practice or natural disasters, and which are expected to be regenerated within 5 years. Local conditions may, in exceptional cases, justify that a longer time frame is used.</w:t>
      </w:r>
    </w:p>
    <w:p w14:paraId="71B8F6ED" w14:textId="77777777"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Includes forest roads, firebreaks and other small open areas; forest in national parks, nature reserves and other protected areas such as those of specific environmental, scientific, historical, cultural or spiritual interest.</w:t>
      </w:r>
    </w:p>
    <w:p w14:paraId="5FE5DCE7" w14:textId="77777777"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Includes windbreaks, shelterbelts and corridors of trees with an area of more than 0.5 hectares and width of more than 20 meters.</w:t>
      </w:r>
    </w:p>
    <w:p w14:paraId="10587F09" w14:textId="38DC991C"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Includes abandoned shifting cultivation land with a regeneration of trees that have, or are expected to reach, a canopy cover of 10 percent and tree height of 5 meters.</w:t>
      </w:r>
    </w:p>
    <w:p w14:paraId="2E0E2C13" w14:textId="77777777"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 xml:space="preserve">Includes areas with mangroves in tidal zones, </w:t>
      </w:r>
      <w:proofErr w:type="gramStart"/>
      <w:r w:rsidRPr="00656DA6">
        <w:rPr>
          <w:rFonts w:cstheme="minorHAnsi"/>
          <w:sz w:val="18"/>
          <w:szCs w:val="18"/>
        </w:rPr>
        <w:t>regardless</w:t>
      </w:r>
      <w:proofErr w:type="gramEnd"/>
      <w:r w:rsidRPr="00656DA6">
        <w:rPr>
          <w:rFonts w:cstheme="minorHAnsi"/>
          <w:sz w:val="18"/>
          <w:szCs w:val="18"/>
        </w:rPr>
        <w:t xml:space="preserve"> whether this area is classified as land area or not.</w:t>
      </w:r>
    </w:p>
    <w:p w14:paraId="70BDAA65" w14:textId="77777777" w:rsidR="007A7EFD" w:rsidRPr="00656DA6"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 xml:space="preserve">Includes rubberwood, cork oak and Christmas tree plantations. </w:t>
      </w:r>
    </w:p>
    <w:p w14:paraId="373EC832" w14:textId="77777777" w:rsidR="007A7EFD" w:rsidRDefault="007A7EFD" w:rsidP="00957524">
      <w:pPr>
        <w:numPr>
          <w:ilvl w:val="0"/>
          <w:numId w:val="8"/>
        </w:numPr>
        <w:suppressAutoHyphens/>
        <w:spacing w:before="80" w:after="0" w:line="240" w:lineRule="auto"/>
        <w:ind w:left="357" w:hanging="357"/>
        <w:rPr>
          <w:rFonts w:cstheme="minorHAnsi"/>
          <w:sz w:val="18"/>
          <w:szCs w:val="18"/>
        </w:rPr>
      </w:pPr>
      <w:r w:rsidRPr="00656DA6">
        <w:rPr>
          <w:rFonts w:cstheme="minorHAnsi"/>
          <w:sz w:val="18"/>
          <w:szCs w:val="18"/>
        </w:rPr>
        <w:t xml:space="preserve">Includes areas with bamboo and palms </w:t>
      </w:r>
      <w:proofErr w:type="gramStart"/>
      <w:r w:rsidRPr="00656DA6">
        <w:rPr>
          <w:rFonts w:cstheme="minorHAnsi"/>
          <w:sz w:val="18"/>
          <w:szCs w:val="18"/>
        </w:rPr>
        <w:t>provided that</w:t>
      </w:r>
      <w:proofErr w:type="gramEnd"/>
      <w:r w:rsidRPr="00656DA6">
        <w:rPr>
          <w:rFonts w:cstheme="minorHAnsi"/>
          <w:sz w:val="18"/>
          <w:szCs w:val="18"/>
        </w:rPr>
        <w:t xml:space="preserve"> land use, height and canopy cover criteria are met.</w:t>
      </w:r>
    </w:p>
    <w:p w14:paraId="310B3350" w14:textId="7842A378" w:rsidR="00DD298C" w:rsidRPr="00DD298C" w:rsidRDefault="00DD298C" w:rsidP="00DD298C">
      <w:pPr>
        <w:numPr>
          <w:ilvl w:val="0"/>
          <w:numId w:val="8"/>
        </w:numPr>
        <w:suppressAutoHyphens/>
        <w:spacing w:before="80" w:after="0" w:line="240" w:lineRule="auto"/>
        <w:ind w:left="357" w:hanging="357"/>
        <w:rPr>
          <w:rFonts w:cstheme="minorHAnsi"/>
          <w:sz w:val="18"/>
          <w:szCs w:val="18"/>
        </w:rPr>
      </w:pPr>
      <w:r w:rsidRPr="002449B6">
        <w:rPr>
          <w:rFonts w:cstheme="minorHAnsi"/>
          <w:sz w:val="18"/>
          <w:szCs w:val="18"/>
        </w:rPr>
        <w:t>Includes areas outside the legally designated forest land which meet the definition of “forest”. </w:t>
      </w:r>
    </w:p>
    <w:p w14:paraId="7E930864" w14:textId="77777777" w:rsidR="007A7EFD" w:rsidRPr="002449B6" w:rsidRDefault="007A7EFD" w:rsidP="002449B6">
      <w:pPr>
        <w:numPr>
          <w:ilvl w:val="0"/>
          <w:numId w:val="8"/>
        </w:numPr>
        <w:suppressAutoHyphens/>
        <w:spacing w:before="80" w:after="0" w:line="240" w:lineRule="auto"/>
        <w:ind w:left="357" w:hanging="357"/>
        <w:rPr>
          <w:rFonts w:cstheme="minorHAnsi"/>
          <w:sz w:val="18"/>
          <w:szCs w:val="18"/>
        </w:rPr>
      </w:pPr>
      <w:r w:rsidRPr="002449B6">
        <w:rPr>
          <w:rFonts w:cstheme="minorHAnsi"/>
          <w:sz w:val="18"/>
          <w:szCs w:val="18"/>
        </w:rPr>
        <w:t>Excludes</w:t>
      </w:r>
      <w:r w:rsidRPr="00656DA6">
        <w:rPr>
          <w:rFonts w:cstheme="minorHAnsi"/>
          <w:sz w:val="18"/>
          <w:szCs w:val="18"/>
        </w:rPr>
        <w:t xml:space="preserve"> tree stands in agricultural production systems, such as fruit tree plantations, oil palm plantations, olive orchards and agroforestry systems when crops are grown under tree cover. </w:t>
      </w:r>
      <w:r w:rsidRPr="002449B6">
        <w:rPr>
          <w:rFonts w:cstheme="minorHAnsi"/>
          <w:sz w:val="18"/>
          <w:szCs w:val="18"/>
        </w:rPr>
        <w:t>Note:</w:t>
      </w:r>
      <w:r w:rsidRPr="00656DA6">
        <w:rPr>
          <w:rFonts w:cstheme="minorHAnsi"/>
          <w:sz w:val="18"/>
          <w:szCs w:val="18"/>
        </w:rPr>
        <w:t xml:space="preserve"> Some agroforestry systems such as the “</w:t>
      </w:r>
      <w:proofErr w:type="spellStart"/>
      <w:r w:rsidRPr="00656DA6">
        <w:rPr>
          <w:rFonts w:cstheme="minorHAnsi"/>
          <w:sz w:val="18"/>
          <w:szCs w:val="18"/>
        </w:rPr>
        <w:t>Taungya</w:t>
      </w:r>
      <w:proofErr w:type="spellEnd"/>
      <w:r w:rsidRPr="00656DA6">
        <w:rPr>
          <w:rFonts w:cstheme="minorHAnsi"/>
          <w:sz w:val="18"/>
          <w:szCs w:val="18"/>
        </w:rPr>
        <w:t>” system where crops are grown only during the first years of the forest rotation should be classified as forest.</w:t>
      </w:r>
    </w:p>
    <w:p w14:paraId="69B5E98C" w14:textId="77777777" w:rsidR="007A7EFD" w:rsidRPr="00282BF7" w:rsidRDefault="007A7EFD" w:rsidP="007A7EFD">
      <w:pPr>
        <w:rPr>
          <w:rFonts w:cstheme="minorHAnsi"/>
        </w:rPr>
      </w:pPr>
    </w:p>
    <w:p w14:paraId="02CD9E91" w14:textId="77777777" w:rsidR="007A7EFD" w:rsidRPr="00282BF7" w:rsidRDefault="007A7EFD" w:rsidP="007A7EFD">
      <w:pPr>
        <w:snapToGrid w:val="0"/>
        <w:rPr>
          <w:rFonts w:cstheme="minorHAnsi"/>
          <w:b/>
          <w:color w:val="365F91" w:themeColor="accent1" w:themeShade="BF"/>
          <w:sz w:val="20"/>
          <w:szCs w:val="20"/>
        </w:rPr>
      </w:pPr>
      <w:r w:rsidRPr="00282BF7">
        <w:rPr>
          <w:rFonts w:cstheme="minorHAnsi"/>
          <w:b/>
          <w:color w:val="365F91" w:themeColor="accent1" w:themeShade="BF"/>
          <w:sz w:val="20"/>
          <w:szCs w:val="20"/>
        </w:rPr>
        <w:t>ABOVE-GROUND BIOMASS</w:t>
      </w:r>
    </w:p>
    <w:p w14:paraId="2548DA13" w14:textId="01EA9062" w:rsidR="007A7EFD" w:rsidRPr="009F1A9E" w:rsidRDefault="007A7EFD" w:rsidP="007A7EFD">
      <w:pPr>
        <w:spacing w:before="240" w:after="240"/>
        <w:rPr>
          <w:color w:val="000000"/>
          <w:sz w:val="21"/>
        </w:rPr>
      </w:pPr>
      <w:r w:rsidRPr="009F1A9E">
        <w:rPr>
          <w:color w:val="000000"/>
          <w:sz w:val="21"/>
        </w:rPr>
        <w:t xml:space="preserve">All biomass </w:t>
      </w:r>
      <w:r w:rsidR="00E57FB4">
        <w:rPr>
          <w:color w:val="000000"/>
          <w:sz w:val="21"/>
        </w:rPr>
        <w:t>of living vegetation, both woody and herbaceous</w:t>
      </w:r>
      <w:r w:rsidR="00602CC9">
        <w:rPr>
          <w:color w:val="000000"/>
          <w:sz w:val="21"/>
        </w:rPr>
        <w:t xml:space="preserve">, </w:t>
      </w:r>
      <w:r w:rsidRPr="009F1A9E">
        <w:rPr>
          <w:color w:val="000000"/>
          <w:sz w:val="21"/>
        </w:rPr>
        <w:t>above the soil including stem, stump, branches, bark, seeds, and foliage.</w:t>
      </w:r>
    </w:p>
    <w:p w14:paraId="76E2C39F" w14:textId="77777777" w:rsidR="007A7EFD" w:rsidRPr="00C71032" w:rsidRDefault="007A7EFD" w:rsidP="007A7EFD">
      <w:pPr>
        <w:rPr>
          <w:rFonts w:cstheme="minorHAnsi"/>
          <w:spacing w:val="-2"/>
          <w:sz w:val="18"/>
          <w:szCs w:val="18"/>
          <w:u w:val="single"/>
        </w:rPr>
      </w:pPr>
      <w:r w:rsidRPr="00C71032">
        <w:rPr>
          <w:rFonts w:cstheme="minorHAnsi"/>
          <w:spacing w:val="-2"/>
          <w:sz w:val="18"/>
          <w:szCs w:val="18"/>
          <w:u w:val="single"/>
        </w:rPr>
        <w:t xml:space="preserve">Explanatory note </w:t>
      </w:r>
    </w:p>
    <w:p w14:paraId="7477AEDC" w14:textId="77777777" w:rsidR="007A7EFD" w:rsidRPr="00656DA6" w:rsidRDefault="007A7EFD" w:rsidP="00957524">
      <w:pPr>
        <w:numPr>
          <w:ilvl w:val="0"/>
          <w:numId w:val="9"/>
        </w:numPr>
        <w:suppressAutoHyphens/>
        <w:spacing w:before="60" w:after="0" w:line="240" w:lineRule="auto"/>
        <w:ind w:left="357" w:hanging="357"/>
        <w:rPr>
          <w:rFonts w:cstheme="minorHAnsi"/>
          <w:spacing w:val="-2"/>
          <w:sz w:val="18"/>
          <w:szCs w:val="18"/>
        </w:rPr>
      </w:pPr>
      <w:r w:rsidRPr="005378FC">
        <w:rPr>
          <w:rFonts w:cstheme="minorHAnsi"/>
          <w:spacing w:val="-2"/>
          <w:sz w:val="18"/>
          <w:szCs w:val="18"/>
        </w:rPr>
        <w:t>In cases where forest understorey is a relatively small component of the aboveground biomass carbon pool, it is acceptable to exclude it, provided this is done in a consistent manner throughout the inventory time series.</w:t>
      </w:r>
    </w:p>
    <w:p w14:paraId="2E7C10C1" w14:textId="77777777" w:rsidR="007A7EFD" w:rsidRPr="00282BF7" w:rsidRDefault="007A7EFD" w:rsidP="007A7EFD">
      <w:pPr>
        <w:rPr>
          <w:rFonts w:cstheme="minorHAnsi"/>
        </w:rPr>
      </w:pPr>
    </w:p>
    <w:p w14:paraId="3B475E61" w14:textId="77777777" w:rsidR="007A7EFD" w:rsidRPr="00282BF7" w:rsidRDefault="007A7EFD" w:rsidP="007A7EFD">
      <w:pPr>
        <w:keepNext/>
        <w:snapToGrid w:val="0"/>
        <w:rPr>
          <w:rFonts w:cstheme="minorHAnsi"/>
          <w:b/>
          <w:color w:val="365F91" w:themeColor="accent1" w:themeShade="BF"/>
          <w:sz w:val="20"/>
          <w:szCs w:val="20"/>
        </w:rPr>
      </w:pPr>
      <w:r w:rsidRPr="00282BF7">
        <w:rPr>
          <w:rFonts w:cstheme="minorHAnsi"/>
          <w:b/>
          <w:color w:val="365F91" w:themeColor="accent1" w:themeShade="BF"/>
          <w:sz w:val="20"/>
          <w:szCs w:val="20"/>
        </w:rPr>
        <w:t>FOREST AREA WITHIN PROTECTED AREAS</w:t>
      </w:r>
    </w:p>
    <w:p w14:paraId="3BFC8CAD" w14:textId="77777777" w:rsidR="007A7EFD" w:rsidRPr="009F1A9E" w:rsidRDefault="007A7EFD" w:rsidP="007A7EFD">
      <w:pPr>
        <w:spacing w:before="240" w:after="240"/>
        <w:rPr>
          <w:color w:val="000000"/>
          <w:sz w:val="21"/>
        </w:rPr>
      </w:pPr>
      <w:r w:rsidRPr="009F1A9E">
        <w:rPr>
          <w:color w:val="000000"/>
          <w:sz w:val="21"/>
        </w:rPr>
        <w:t xml:space="preserve">Forest area within formally established protected areas independently of the purpose for which the protected areas were established. </w:t>
      </w:r>
    </w:p>
    <w:p w14:paraId="62AD8FBA" w14:textId="77777777" w:rsidR="007A7EFD" w:rsidRPr="00C71032" w:rsidRDefault="007A7EFD" w:rsidP="007A7EFD">
      <w:pPr>
        <w:rPr>
          <w:rFonts w:cstheme="minorHAnsi"/>
          <w:sz w:val="18"/>
          <w:szCs w:val="18"/>
          <w:u w:val="single"/>
        </w:rPr>
      </w:pPr>
      <w:r w:rsidRPr="00C71032">
        <w:rPr>
          <w:rFonts w:cstheme="minorHAnsi"/>
          <w:sz w:val="18"/>
          <w:szCs w:val="18"/>
          <w:u w:val="single"/>
        </w:rPr>
        <w:t>Explanatory notes</w:t>
      </w:r>
    </w:p>
    <w:p w14:paraId="376FCC54" w14:textId="694CE4AC" w:rsidR="007A7EFD" w:rsidRPr="00656DA6" w:rsidRDefault="007A7EFD" w:rsidP="00957524">
      <w:pPr>
        <w:numPr>
          <w:ilvl w:val="0"/>
          <w:numId w:val="10"/>
        </w:numPr>
        <w:suppressAutoHyphens/>
        <w:spacing w:before="60" w:after="0" w:line="240" w:lineRule="auto"/>
        <w:rPr>
          <w:rFonts w:cstheme="minorHAnsi"/>
          <w:sz w:val="18"/>
          <w:szCs w:val="18"/>
        </w:rPr>
      </w:pPr>
      <w:r w:rsidRPr="005378FC">
        <w:rPr>
          <w:rFonts w:cstheme="minorHAnsi"/>
          <w:sz w:val="18"/>
          <w:szCs w:val="18"/>
        </w:rPr>
        <w:t xml:space="preserve">Includes </w:t>
      </w:r>
      <w:r w:rsidRPr="00656DA6">
        <w:rPr>
          <w:rFonts w:cstheme="minorHAnsi"/>
          <w:sz w:val="18"/>
          <w:szCs w:val="18"/>
        </w:rPr>
        <w:t>IUCN Categories I – IV</w:t>
      </w:r>
      <w:r w:rsidR="00F7341B">
        <w:rPr>
          <w:rFonts w:cstheme="minorHAnsi"/>
          <w:sz w:val="18"/>
          <w:szCs w:val="18"/>
        </w:rPr>
        <w:t>.</w:t>
      </w:r>
    </w:p>
    <w:p w14:paraId="56FE92B9" w14:textId="24CD0F7F" w:rsidR="007A7EFD" w:rsidRDefault="007A7EFD" w:rsidP="00957524">
      <w:pPr>
        <w:numPr>
          <w:ilvl w:val="0"/>
          <w:numId w:val="10"/>
        </w:numPr>
        <w:suppressAutoHyphens/>
        <w:spacing w:before="60" w:after="0" w:line="240" w:lineRule="auto"/>
        <w:rPr>
          <w:rFonts w:cstheme="minorHAnsi"/>
          <w:sz w:val="18"/>
          <w:szCs w:val="18"/>
        </w:rPr>
      </w:pPr>
      <w:r w:rsidRPr="002449B6">
        <w:rPr>
          <w:rFonts w:cstheme="minorHAnsi"/>
          <w:sz w:val="18"/>
          <w:szCs w:val="18"/>
        </w:rPr>
        <w:t>Excludes</w:t>
      </w:r>
      <w:r w:rsidRPr="00656DA6">
        <w:rPr>
          <w:rFonts w:cstheme="minorHAnsi"/>
          <w:sz w:val="18"/>
          <w:szCs w:val="18"/>
        </w:rPr>
        <w:t xml:space="preserve"> IUCN Categories V-VI</w:t>
      </w:r>
      <w:r w:rsidR="00F7341B">
        <w:rPr>
          <w:rFonts w:cstheme="minorHAnsi"/>
          <w:sz w:val="18"/>
          <w:szCs w:val="18"/>
        </w:rPr>
        <w:t>.</w:t>
      </w:r>
    </w:p>
    <w:p w14:paraId="01AB6A85" w14:textId="3FB223CD" w:rsidR="00F7341B" w:rsidRPr="00F7341B" w:rsidRDefault="00F7341B" w:rsidP="00F7341B">
      <w:pPr>
        <w:numPr>
          <w:ilvl w:val="0"/>
          <w:numId w:val="10"/>
        </w:numPr>
        <w:suppressAutoHyphens/>
        <w:spacing w:before="60" w:after="0" w:line="240" w:lineRule="auto"/>
        <w:rPr>
          <w:rFonts w:cstheme="minorHAnsi"/>
          <w:sz w:val="18"/>
          <w:szCs w:val="18"/>
        </w:rPr>
      </w:pPr>
      <w:r w:rsidRPr="002449B6">
        <w:rPr>
          <w:rFonts w:cstheme="minorHAnsi"/>
          <w:sz w:val="18"/>
          <w:szCs w:val="18"/>
        </w:rPr>
        <w:lastRenderedPageBreak/>
        <w:t>Includes forest area within legally established protected areas whose IUCN category is unknown.</w:t>
      </w:r>
    </w:p>
    <w:p w14:paraId="7F4FA5BC" w14:textId="77777777" w:rsidR="007A7EFD" w:rsidRPr="009F1A9E" w:rsidRDefault="007A7EFD" w:rsidP="007A7EFD">
      <w:pPr>
        <w:spacing w:before="60"/>
        <w:rPr>
          <w:sz w:val="21"/>
        </w:rPr>
      </w:pPr>
    </w:p>
    <w:p w14:paraId="2D961808" w14:textId="53FF08BF" w:rsidR="007A7EFD" w:rsidRPr="00282BF7" w:rsidRDefault="007A7EFD" w:rsidP="007A7EFD">
      <w:pPr>
        <w:snapToGrid w:val="0"/>
        <w:rPr>
          <w:rFonts w:cstheme="minorHAnsi"/>
          <w:b/>
          <w:color w:val="365F91" w:themeColor="accent1" w:themeShade="BF"/>
          <w:sz w:val="20"/>
          <w:szCs w:val="20"/>
        </w:rPr>
      </w:pPr>
      <w:r w:rsidRPr="00282BF7">
        <w:rPr>
          <w:rFonts w:cstheme="minorHAnsi"/>
          <w:b/>
          <w:color w:val="365F91" w:themeColor="accent1" w:themeShade="BF"/>
          <w:sz w:val="20"/>
          <w:szCs w:val="20"/>
        </w:rPr>
        <w:t xml:space="preserve">FOREST AREA WITH </w:t>
      </w:r>
      <w:r w:rsidR="00F7341B">
        <w:rPr>
          <w:rFonts w:cstheme="minorHAnsi"/>
          <w:b/>
          <w:color w:val="365F91" w:themeColor="accent1" w:themeShade="BF"/>
          <w:sz w:val="20"/>
          <w:szCs w:val="20"/>
        </w:rPr>
        <w:t xml:space="preserve">LONG-TERM </w:t>
      </w:r>
      <w:r w:rsidRPr="00282BF7">
        <w:rPr>
          <w:rFonts w:cstheme="minorHAnsi"/>
          <w:b/>
          <w:color w:val="365F91" w:themeColor="accent1" w:themeShade="BF"/>
          <w:sz w:val="20"/>
          <w:szCs w:val="20"/>
        </w:rPr>
        <w:t>MANAGEMENT PLAN</w:t>
      </w:r>
    </w:p>
    <w:p w14:paraId="7224B2C2" w14:textId="0082473F" w:rsidR="007A7EFD" w:rsidRPr="009F1A9E" w:rsidRDefault="007A7EFD" w:rsidP="007A7EFD">
      <w:pPr>
        <w:spacing w:before="240" w:after="240"/>
        <w:rPr>
          <w:color w:val="000000"/>
          <w:sz w:val="21"/>
        </w:rPr>
      </w:pPr>
      <w:r w:rsidRPr="009F1A9E">
        <w:rPr>
          <w:color w:val="000000"/>
          <w:sz w:val="21"/>
        </w:rPr>
        <w:t xml:space="preserve">Forest area that has a long-term </w:t>
      </w:r>
      <w:r w:rsidR="00F7341B">
        <w:rPr>
          <w:color w:val="000000"/>
          <w:sz w:val="21"/>
        </w:rPr>
        <w:t xml:space="preserve">(ten years or more) </w:t>
      </w:r>
      <w:r w:rsidRPr="009F1A9E">
        <w:rPr>
          <w:color w:val="000000"/>
          <w:sz w:val="21"/>
        </w:rPr>
        <w:t xml:space="preserve">documented management plan, aiming at defined management goals, </w:t>
      </w:r>
      <w:r w:rsidR="00F7341B">
        <w:rPr>
          <w:color w:val="000000"/>
          <w:sz w:val="21"/>
        </w:rPr>
        <w:t xml:space="preserve">and </w:t>
      </w:r>
      <w:r w:rsidRPr="009F1A9E">
        <w:rPr>
          <w:color w:val="000000"/>
          <w:sz w:val="21"/>
        </w:rPr>
        <w:t xml:space="preserve">which is periodically revised. </w:t>
      </w:r>
    </w:p>
    <w:p w14:paraId="04EAC41A" w14:textId="77777777" w:rsidR="007A7EFD" w:rsidRPr="00282BF7" w:rsidRDefault="007A7EFD" w:rsidP="007A7EFD">
      <w:pPr>
        <w:rPr>
          <w:rFonts w:cstheme="minorHAnsi"/>
          <w:sz w:val="18"/>
          <w:u w:val="single"/>
        </w:rPr>
      </w:pPr>
      <w:r w:rsidRPr="00282BF7">
        <w:rPr>
          <w:rFonts w:cstheme="minorHAnsi"/>
          <w:sz w:val="18"/>
          <w:u w:val="single"/>
        </w:rPr>
        <w:t>Explanatory notes</w:t>
      </w:r>
    </w:p>
    <w:p w14:paraId="3D71C43B" w14:textId="77777777" w:rsidR="007A7EFD" w:rsidRPr="00282BF7" w:rsidRDefault="007A7EFD" w:rsidP="00957524">
      <w:pPr>
        <w:numPr>
          <w:ilvl w:val="0"/>
          <w:numId w:val="11"/>
        </w:numPr>
        <w:tabs>
          <w:tab w:val="clear" w:pos="360"/>
        </w:tabs>
        <w:suppressAutoHyphens/>
        <w:spacing w:before="60" w:after="0" w:line="240" w:lineRule="auto"/>
        <w:rPr>
          <w:rFonts w:cstheme="minorHAnsi"/>
          <w:sz w:val="18"/>
          <w:szCs w:val="20"/>
        </w:rPr>
      </w:pPr>
      <w:r w:rsidRPr="00282BF7">
        <w:rPr>
          <w:rFonts w:cstheme="minorHAnsi"/>
          <w:sz w:val="18"/>
          <w:szCs w:val="20"/>
        </w:rPr>
        <w:t>A forest area with management plan may refer to forest management unit level or aggregated forest management unit level (forest blocks, farms, enterprises, watersheds, municipalities, or wider units).</w:t>
      </w:r>
    </w:p>
    <w:p w14:paraId="5081DA68" w14:textId="46F0D905" w:rsidR="007A7EFD" w:rsidRPr="00282BF7" w:rsidRDefault="007A7EFD" w:rsidP="00957524">
      <w:pPr>
        <w:numPr>
          <w:ilvl w:val="0"/>
          <w:numId w:val="11"/>
        </w:numPr>
        <w:tabs>
          <w:tab w:val="clear" w:pos="360"/>
        </w:tabs>
        <w:suppressAutoHyphens/>
        <w:spacing w:before="60" w:after="0" w:line="240" w:lineRule="auto"/>
        <w:rPr>
          <w:rFonts w:cstheme="minorHAnsi"/>
          <w:sz w:val="18"/>
          <w:szCs w:val="20"/>
        </w:rPr>
      </w:pPr>
      <w:r w:rsidRPr="00282BF7">
        <w:rPr>
          <w:rFonts w:cstheme="minorHAnsi"/>
          <w:sz w:val="18"/>
          <w:szCs w:val="20"/>
        </w:rPr>
        <w:t xml:space="preserve">A management plan </w:t>
      </w:r>
      <w:r w:rsidR="00F7341B">
        <w:rPr>
          <w:rFonts w:cstheme="minorHAnsi"/>
          <w:sz w:val="18"/>
          <w:szCs w:val="20"/>
        </w:rPr>
        <w:t>may</w:t>
      </w:r>
      <w:r w:rsidR="00F7341B" w:rsidRPr="00282BF7">
        <w:rPr>
          <w:rFonts w:cstheme="minorHAnsi"/>
          <w:sz w:val="18"/>
          <w:szCs w:val="20"/>
        </w:rPr>
        <w:t xml:space="preserve"> </w:t>
      </w:r>
      <w:r w:rsidRPr="00282BF7">
        <w:rPr>
          <w:rFonts w:cstheme="minorHAnsi"/>
          <w:sz w:val="18"/>
          <w:szCs w:val="20"/>
        </w:rPr>
        <w:t xml:space="preserve">include adequate detail on operations planned for individual operational units (stands or compartments) but may also </w:t>
      </w:r>
      <w:r w:rsidR="00F7341B">
        <w:rPr>
          <w:rFonts w:cstheme="minorHAnsi"/>
          <w:sz w:val="18"/>
          <w:szCs w:val="20"/>
        </w:rPr>
        <w:t xml:space="preserve">be limited to </w:t>
      </w:r>
      <w:r w:rsidRPr="00282BF7">
        <w:rPr>
          <w:rFonts w:cstheme="minorHAnsi"/>
          <w:sz w:val="18"/>
          <w:szCs w:val="20"/>
        </w:rPr>
        <w:t>provide general strategies and activities planned to reach management goals.</w:t>
      </w:r>
    </w:p>
    <w:p w14:paraId="20A4B2DB" w14:textId="77777777" w:rsidR="007A7EFD" w:rsidRDefault="007A7EFD" w:rsidP="00957524">
      <w:pPr>
        <w:numPr>
          <w:ilvl w:val="0"/>
          <w:numId w:val="11"/>
        </w:numPr>
        <w:tabs>
          <w:tab w:val="clear" w:pos="360"/>
        </w:tabs>
        <w:suppressAutoHyphens/>
        <w:spacing w:before="60" w:after="0" w:line="240" w:lineRule="auto"/>
        <w:rPr>
          <w:rFonts w:cstheme="minorHAnsi"/>
          <w:sz w:val="18"/>
          <w:szCs w:val="20"/>
        </w:rPr>
      </w:pPr>
      <w:r w:rsidRPr="00282BF7">
        <w:rPr>
          <w:rFonts w:cstheme="minorHAnsi"/>
          <w:sz w:val="18"/>
          <w:szCs w:val="20"/>
        </w:rPr>
        <w:t>Includes forest area in protected areas with management plan.</w:t>
      </w:r>
    </w:p>
    <w:p w14:paraId="3390E10D" w14:textId="4C96CDB5" w:rsidR="00575392" w:rsidRPr="00575392" w:rsidRDefault="00575392" w:rsidP="002449B6">
      <w:pPr>
        <w:pStyle w:val="ListParagraph"/>
        <w:numPr>
          <w:ilvl w:val="0"/>
          <w:numId w:val="11"/>
        </w:numPr>
        <w:tabs>
          <w:tab w:val="clear" w:pos="360"/>
        </w:tabs>
        <w:suppressAutoHyphens/>
        <w:spacing w:before="60" w:after="0" w:line="240" w:lineRule="auto"/>
        <w:rPr>
          <w:rFonts w:cstheme="minorHAnsi"/>
          <w:sz w:val="18"/>
          <w:szCs w:val="20"/>
        </w:rPr>
      </w:pPr>
      <w:r w:rsidRPr="00575392">
        <w:rPr>
          <w:rFonts w:cstheme="minorHAnsi"/>
          <w:sz w:val="18"/>
          <w:szCs w:val="20"/>
        </w:rPr>
        <w:t>Includes continuously updated management plans.</w:t>
      </w:r>
    </w:p>
    <w:p w14:paraId="696E44B0" w14:textId="77777777" w:rsidR="007A7EFD" w:rsidRPr="00282BF7" w:rsidRDefault="007A7EFD" w:rsidP="007A7EFD">
      <w:pPr>
        <w:spacing w:before="60"/>
        <w:rPr>
          <w:rFonts w:cstheme="minorHAnsi"/>
          <w:sz w:val="18"/>
          <w:szCs w:val="20"/>
        </w:rPr>
      </w:pPr>
    </w:p>
    <w:p w14:paraId="464DF891" w14:textId="62EEFC91" w:rsidR="007A7EFD" w:rsidRPr="00282BF7" w:rsidRDefault="00575392" w:rsidP="007A7EFD">
      <w:pPr>
        <w:snapToGrid w:val="0"/>
        <w:rPr>
          <w:rFonts w:cstheme="minorHAnsi"/>
          <w:b/>
          <w:color w:val="365F91" w:themeColor="accent1" w:themeShade="BF"/>
          <w:sz w:val="20"/>
          <w:szCs w:val="20"/>
        </w:rPr>
      </w:pPr>
      <w:r>
        <w:rPr>
          <w:rFonts w:cstheme="minorHAnsi"/>
          <w:b/>
          <w:color w:val="365F91" w:themeColor="accent1" w:themeShade="BF"/>
          <w:sz w:val="20"/>
          <w:szCs w:val="20"/>
        </w:rPr>
        <w:t xml:space="preserve">FOREST AREA UNDER </w:t>
      </w:r>
      <w:r w:rsidR="007A7EFD" w:rsidRPr="00282BF7">
        <w:rPr>
          <w:rFonts w:cstheme="minorHAnsi"/>
          <w:b/>
          <w:color w:val="365F91" w:themeColor="accent1" w:themeShade="BF"/>
          <w:sz w:val="20"/>
          <w:szCs w:val="20"/>
        </w:rPr>
        <w:t>INDEPENDENTLY VERIFIED FOREST MANAGEMENT CERTIFICATION</w:t>
      </w:r>
    </w:p>
    <w:p w14:paraId="3845AA58" w14:textId="77777777" w:rsidR="007A7EFD" w:rsidRPr="009F1A9E" w:rsidRDefault="007A7EFD" w:rsidP="007A7EFD">
      <w:pPr>
        <w:spacing w:before="240" w:after="240"/>
        <w:rPr>
          <w:color w:val="000000"/>
          <w:sz w:val="21"/>
        </w:rPr>
      </w:pPr>
      <w:r w:rsidRPr="009F1A9E">
        <w:rPr>
          <w:color w:val="000000"/>
          <w:sz w:val="21"/>
        </w:rPr>
        <w:t>Forest area certified under a forest management certification scheme with published standards and is independently verified by a third-party.</w:t>
      </w:r>
    </w:p>
    <w:p w14:paraId="63A4B960" w14:textId="77777777" w:rsidR="007A7EFD" w:rsidRPr="00282BF7" w:rsidRDefault="007A7EFD" w:rsidP="007A7EFD">
      <w:pPr>
        <w:rPr>
          <w:rFonts w:cstheme="minorHAnsi"/>
          <w:b/>
          <w:color w:val="000000"/>
          <w:sz w:val="18"/>
          <w:szCs w:val="20"/>
        </w:rPr>
      </w:pPr>
      <w:r w:rsidRPr="00282BF7">
        <w:rPr>
          <w:rFonts w:cstheme="minorHAnsi"/>
          <w:b/>
          <w:color w:val="000000"/>
          <w:sz w:val="18"/>
          <w:szCs w:val="20"/>
        </w:rPr>
        <w:br w:type="page"/>
      </w:r>
    </w:p>
    <w:p w14:paraId="416875AF" w14:textId="77777777" w:rsidR="007A7EFD" w:rsidRPr="00282BF7" w:rsidRDefault="007A7EFD" w:rsidP="007A7EFD">
      <w:pPr>
        <w:rPr>
          <w:rFonts w:eastAsia="Times New Roman" w:cstheme="minorHAnsi"/>
          <w:b/>
          <w:sz w:val="28"/>
          <w:szCs w:val="24"/>
          <w:lang w:eastAsia="en-GB"/>
        </w:rPr>
      </w:pPr>
      <w:r w:rsidRPr="00282BF7">
        <w:rPr>
          <w:rFonts w:eastAsia="Times New Roman" w:cstheme="minorHAnsi"/>
          <w:b/>
          <w:sz w:val="28"/>
          <w:szCs w:val="24"/>
          <w:lang w:eastAsia="en-GB"/>
        </w:rPr>
        <w:lastRenderedPageBreak/>
        <w:t>Annex 2 – Methodology</w:t>
      </w:r>
    </w:p>
    <w:p w14:paraId="5F77A44C" w14:textId="77777777" w:rsidR="007A7EFD" w:rsidRPr="00957524" w:rsidRDefault="007A7EFD" w:rsidP="007A7EFD">
      <w:pPr>
        <w:rPr>
          <w:b/>
          <w:sz w:val="21"/>
        </w:rPr>
      </w:pPr>
      <w:r w:rsidRPr="009F1A9E">
        <w:rPr>
          <w:b/>
          <w:sz w:val="21"/>
        </w:rPr>
        <w:t xml:space="preserve">Sub-indicator 1 - </w:t>
      </w:r>
      <w:r>
        <w:rPr>
          <w:b/>
          <w:sz w:val="21"/>
        </w:rPr>
        <w:t>A</w:t>
      </w:r>
      <w:r w:rsidRPr="009F1A9E">
        <w:rPr>
          <w:b/>
          <w:sz w:val="21"/>
        </w:rPr>
        <w:t xml:space="preserve">nnual </w:t>
      </w:r>
      <w:r>
        <w:rPr>
          <w:b/>
          <w:sz w:val="21"/>
        </w:rPr>
        <w:t>f</w:t>
      </w:r>
      <w:r w:rsidRPr="009F1A9E">
        <w:rPr>
          <w:b/>
          <w:sz w:val="21"/>
        </w:rPr>
        <w:t>orest area change rate</w:t>
      </w:r>
    </w:p>
    <w:p w14:paraId="0BE6DCC4" w14:textId="77777777" w:rsidR="007A7EFD" w:rsidRPr="009F1A9E" w:rsidRDefault="007A7EFD" w:rsidP="007A7EFD">
      <w:pPr>
        <w:rPr>
          <w:sz w:val="21"/>
        </w:rPr>
      </w:pPr>
      <w:r w:rsidRPr="009F1A9E">
        <w:rPr>
          <w:sz w:val="21"/>
          <w:u w:val="single"/>
        </w:rPr>
        <w:t>Unit</w:t>
      </w:r>
      <w:r w:rsidRPr="009F1A9E">
        <w:rPr>
          <w:sz w:val="21"/>
        </w:rPr>
        <w:t>: Percent</w:t>
      </w:r>
    </w:p>
    <w:p w14:paraId="32B006EC" w14:textId="20C25E19" w:rsidR="007A7EFD" w:rsidRPr="009F1A9E" w:rsidRDefault="007A7EFD" w:rsidP="007A7EFD">
      <w:pPr>
        <w:rPr>
          <w:sz w:val="21"/>
        </w:rPr>
      </w:pPr>
      <w:r w:rsidRPr="009F1A9E">
        <w:rPr>
          <w:sz w:val="21"/>
          <w:u w:val="single"/>
        </w:rPr>
        <w:t>Reference period:</w:t>
      </w:r>
      <w:r w:rsidRPr="009F1A9E">
        <w:rPr>
          <w:sz w:val="21"/>
        </w:rPr>
        <w:t xml:space="preserve"> </w:t>
      </w:r>
      <w:r w:rsidR="00924D09">
        <w:rPr>
          <w:sz w:val="21"/>
        </w:rPr>
        <w:t>2015-2025</w:t>
      </w:r>
    </w:p>
    <w:p w14:paraId="26065CA9" w14:textId="7761847B" w:rsidR="007A7EFD" w:rsidRDefault="007A7EFD" w:rsidP="007A7EFD">
      <w:pPr>
        <w:rPr>
          <w:sz w:val="21"/>
        </w:rPr>
      </w:pPr>
      <w:r w:rsidRPr="009F1A9E">
        <w:rPr>
          <w:sz w:val="21"/>
          <w:u w:val="single"/>
        </w:rPr>
        <w:t>Method of estimation:</w:t>
      </w:r>
      <w:r w:rsidRPr="009F1A9E">
        <w:rPr>
          <w:sz w:val="21"/>
        </w:rPr>
        <w:t xml:space="preserve"> Compound </w:t>
      </w:r>
      <w:r>
        <w:rPr>
          <w:rFonts w:eastAsia="Calibri" w:cstheme="minorHAnsi"/>
          <w:sz w:val="21"/>
          <w:szCs w:val="21"/>
        </w:rPr>
        <w:t>annual change rate</w:t>
      </w:r>
      <w:r w:rsidRPr="00656DA6">
        <w:rPr>
          <w:rFonts w:eastAsia="Calibri" w:cstheme="minorHAnsi"/>
          <w:sz w:val="21"/>
          <w:szCs w:val="21"/>
        </w:rPr>
        <w:t xml:space="preserve"> </w:t>
      </w:r>
      <w:r w:rsidRPr="009F1A9E">
        <w:rPr>
          <w:sz w:val="21"/>
        </w:rPr>
        <w:t>formula</w:t>
      </w:r>
      <w:r>
        <w:rPr>
          <w:sz w:val="21"/>
        </w:rPr>
        <w:t xml:space="preserve"> as follows:</w:t>
      </w:r>
    </w:p>
    <w:p w14:paraId="6C5E808D" w14:textId="7F22C5D2" w:rsidR="00D53763" w:rsidRPr="00D53763" w:rsidRDefault="009124DD" w:rsidP="00E85794">
      <w:pPr>
        <w:ind w:left="1276"/>
        <w:rPr>
          <w:lang w:val="en-US"/>
        </w:rPr>
      </w:pPr>
      <m:oMathPara>
        <m:oMathParaPr>
          <m:jc m:val="left"/>
        </m:oMathParaPr>
        <m:oMath>
          <m:r>
            <w:rPr>
              <w:rFonts w:ascii="Cambria Math" w:hAnsi="Cambria Math"/>
              <w:sz w:val="20"/>
              <w:szCs w:val="20"/>
            </w:rPr>
            <m:t>r=</m:t>
          </m:r>
          <m:d>
            <m:dPr>
              <m:begChr m:val="["/>
              <m:endChr m:val="]"/>
              <m:ctrlPr>
                <w:rPr>
                  <w:rFonts w:ascii="Cambria Math" w:eastAsiaTheme="minorHAnsi" w:hAnsi="Cambria Math"/>
                  <w:i/>
                  <w:sz w:val="20"/>
                  <w:szCs w:val="20"/>
                  <w:lang w:val="en-US" w:eastAsia="en-US"/>
                </w:rPr>
              </m:ctrlPr>
            </m:dPr>
            <m:e>
              <m:sSup>
                <m:sSupPr>
                  <m:ctrlPr>
                    <w:rPr>
                      <w:rFonts w:ascii="Cambria Math" w:eastAsiaTheme="minorHAnsi" w:hAnsi="Cambria Math"/>
                      <w:i/>
                      <w:sz w:val="20"/>
                      <w:szCs w:val="20"/>
                      <w:lang w:val="en-US" w:eastAsia="en-US"/>
                    </w:rPr>
                  </m:ctrlPr>
                </m:sSupPr>
                <m:e>
                  <m:d>
                    <m:dPr>
                      <m:ctrlPr>
                        <w:rPr>
                          <w:rFonts w:ascii="Cambria Math" w:eastAsiaTheme="minorHAnsi" w:hAnsi="Cambria Math"/>
                          <w:i/>
                          <w:sz w:val="20"/>
                          <w:szCs w:val="20"/>
                          <w:lang w:val="en-US" w:eastAsia="en-US"/>
                        </w:rPr>
                      </m:ctrlPr>
                    </m:dPr>
                    <m:e>
                      <m:f>
                        <m:fPr>
                          <m:ctrlPr>
                            <w:rPr>
                              <w:rFonts w:ascii="Cambria Math" w:eastAsiaTheme="minorHAnsi" w:hAnsi="Cambria Math"/>
                              <w:i/>
                              <w:sz w:val="20"/>
                              <w:szCs w:val="20"/>
                              <w:lang w:val="en-US" w:eastAsia="en-US"/>
                            </w:rPr>
                          </m:ctrlPr>
                        </m:fPr>
                        <m:num>
                          <m:sSub>
                            <m:sSubPr>
                              <m:ctrlPr>
                                <w:rPr>
                                  <w:rFonts w:ascii="Cambria Math" w:eastAsiaTheme="minorHAnsi" w:hAnsi="Cambria Math"/>
                                  <w:i/>
                                  <w:sz w:val="20"/>
                                  <w:szCs w:val="20"/>
                                  <w:lang w:val="en-US" w:eastAsia="en-US"/>
                                </w:rPr>
                              </m:ctrlPr>
                            </m:sSubPr>
                            <m:e>
                              <m:r>
                                <w:rPr>
                                  <w:rFonts w:ascii="Cambria Math" w:hAnsi="Cambria Math"/>
                                  <w:sz w:val="20"/>
                                  <w:szCs w:val="20"/>
                                </w:rPr>
                                <m:t>AF</m:t>
                              </m:r>
                            </m:e>
                            <m:sub>
                              <m:r>
                                <w:rPr>
                                  <w:rFonts w:ascii="Cambria Math" w:hAnsi="Cambria Math"/>
                                  <w:sz w:val="20"/>
                                  <w:szCs w:val="20"/>
                                </w:rPr>
                                <m:t>t2</m:t>
                              </m:r>
                            </m:sub>
                          </m:sSub>
                        </m:num>
                        <m:den>
                          <m:sSub>
                            <m:sSubPr>
                              <m:ctrlPr>
                                <w:rPr>
                                  <w:rFonts w:ascii="Cambria Math" w:eastAsiaTheme="minorHAnsi" w:hAnsi="Cambria Math"/>
                                  <w:i/>
                                  <w:sz w:val="20"/>
                                  <w:szCs w:val="20"/>
                                  <w:lang w:val="en-US" w:eastAsia="en-US"/>
                                </w:rPr>
                              </m:ctrlPr>
                            </m:sSubPr>
                            <m:e>
                              <m:r>
                                <w:rPr>
                                  <w:rFonts w:ascii="Cambria Math" w:hAnsi="Cambria Math"/>
                                  <w:sz w:val="20"/>
                                  <w:szCs w:val="20"/>
                                </w:rPr>
                                <m:t>AF</m:t>
                              </m:r>
                            </m:e>
                            <m:sub>
                              <m:r>
                                <w:rPr>
                                  <w:rFonts w:ascii="Cambria Math" w:hAnsi="Cambria Math"/>
                                  <w:sz w:val="20"/>
                                  <w:szCs w:val="20"/>
                                </w:rPr>
                                <m:t>t1</m:t>
                              </m:r>
                            </m:sub>
                          </m:sSub>
                        </m:den>
                      </m:f>
                    </m:e>
                  </m:d>
                </m:e>
                <m:sup>
                  <m:f>
                    <m:fPr>
                      <m:type m:val="skw"/>
                      <m:ctrlPr>
                        <w:rPr>
                          <w:rFonts w:ascii="Cambria Math" w:eastAsiaTheme="minorHAnsi" w:hAnsi="Cambria Math"/>
                          <w:i/>
                          <w:sz w:val="20"/>
                          <w:szCs w:val="20"/>
                          <w:lang w:val="en-US" w:eastAsia="en-US"/>
                        </w:rPr>
                      </m:ctrlPr>
                    </m:fPr>
                    <m:num>
                      <m:r>
                        <w:rPr>
                          <w:rFonts w:ascii="Cambria Math" w:hAnsi="Cambria Math"/>
                          <w:sz w:val="20"/>
                          <w:szCs w:val="20"/>
                        </w:rPr>
                        <m:t>1</m:t>
                      </m:r>
                    </m:num>
                    <m:den>
                      <m:d>
                        <m:dPr>
                          <m:ctrlPr>
                            <w:rPr>
                              <w:rFonts w:ascii="Cambria Math" w:eastAsiaTheme="minorHAnsi" w:hAnsi="Cambria Math"/>
                              <w:i/>
                              <w:sz w:val="20"/>
                              <w:szCs w:val="20"/>
                              <w:lang w:val="en-US" w:eastAsia="en-US"/>
                            </w:rPr>
                          </m:ctrlPr>
                        </m:dPr>
                        <m:e>
                          <m:r>
                            <w:rPr>
                              <w:rFonts w:ascii="Cambria Math" w:hAnsi="Cambria Math"/>
                              <w:sz w:val="20"/>
                              <w:szCs w:val="20"/>
                            </w:rPr>
                            <m:t>t2-t1</m:t>
                          </m:r>
                        </m:e>
                      </m:d>
                    </m:den>
                  </m:f>
                </m:sup>
              </m:sSup>
              <m:r>
                <w:rPr>
                  <w:rFonts w:ascii="Cambria Math" w:hAnsi="Cambria Math"/>
                  <w:sz w:val="20"/>
                  <w:szCs w:val="20"/>
                </w:rPr>
                <m:t>-1</m:t>
              </m:r>
            </m:e>
          </m:d>
          <m:r>
            <w:rPr>
              <w:rFonts w:ascii="Cambria Math" w:hAnsi="Cambria Math"/>
              <w:sz w:val="20"/>
              <w:szCs w:val="20"/>
            </w:rPr>
            <m:t>×100</m:t>
          </m:r>
        </m:oMath>
      </m:oMathPara>
    </w:p>
    <w:p w14:paraId="4EC99B4D" w14:textId="386B17AF" w:rsidR="007A7EFD" w:rsidRDefault="000F5809" w:rsidP="007A7EFD">
      <w:pPr>
        <w:pStyle w:val="CommentText"/>
        <w:ind w:left="1276"/>
      </w:pPr>
      <w:r>
        <w:t>where</w:t>
      </w:r>
      <w:r w:rsidR="007A7EFD">
        <w:t xml:space="preserve">: </w:t>
      </w:r>
      <w:r w:rsidR="007A7EFD">
        <w:tab/>
      </w:r>
    </w:p>
    <w:p w14:paraId="2757C758" w14:textId="77777777" w:rsidR="007A7EFD" w:rsidRDefault="007A7EFD" w:rsidP="00E85794">
      <w:pPr>
        <w:pStyle w:val="CommentText"/>
        <w:spacing w:after="60"/>
        <w:ind w:left="1560" w:firstLine="164"/>
      </w:pPr>
      <w:r w:rsidRPr="00CE78DB">
        <w:rPr>
          <w:rFonts w:asciiTheme="majorHAnsi" w:hAnsiTheme="majorHAnsi"/>
          <w:i/>
          <w:iCs/>
        </w:rPr>
        <w:t>r</w:t>
      </w:r>
      <w:r>
        <w:t xml:space="preserve"> = compound annual change rate for the period </w:t>
      </w:r>
      <w:r w:rsidRPr="00CE78DB">
        <w:rPr>
          <w:i/>
          <w:iCs/>
        </w:rPr>
        <w:t>t</w:t>
      </w:r>
      <w:r w:rsidRPr="00CE78DB">
        <w:rPr>
          <w:i/>
          <w:iCs/>
          <w:vertAlign w:val="subscript"/>
        </w:rPr>
        <w:t xml:space="preserve">1 - </w:t>
      </w:r>
      <w:r w:rsidRPr="00CE78DB">
        <w:rPr>
          <w:i/>
          <w:iCs/>
        </w:rPr>
        <w:t>t</w:t>
      </w:r>
      <w:r w:rsidRPr="00CE78DB">
        <w:rPr>
          <w:i/>
          <w:iCs/>
          <w:vertAlign w:val="subscript"/>
        </w:rPr>
        <w:t>2</w:t>
      </w:r>
      <w:r>
        <w:rPr>
          <w:vertAlign w:val="subscript"/>
        </w:rPr>
        <w:t xml:space="preserve"> </w:t>
      </w:r>
    </w:p>
    <w:p w14:paraId="6D8743CC" w14:textId="77777777" w:rsidR="007A7EFD" w:rsidRPr="001537FC" w:rsidRDefault="007A7EFD" w:rsidP="00E85794">
      <w:pPr>
        <w:pStyle w:val="CommentText"/>
        <w:spacing w:after="60"/>
        <w:ind w:left="1560" w:firstLine="164"/>
      </w:pPr>
      <w:proofErr w:type="spellStart"/>
      <w:r w:rsidRPr="00CE78DB">
        <w:rPr>
          <w:rFonts w:asciiTheme="majorHAnsi" w:hAnsiTheme="majorHAnsi"/>
          <w:i/>
          <w:iCs/>
        </w:rPr>
        <w:t>t</w:t>
      </w:r>
      <w:r w:rsidRPr="00CE78DB">
        <w:rPr>
          <w:rFonts w:asciiTheme="majorHAnsi" w:hAnsiTheme="majorHAnsi"/>
          <w:i/>
          <w:iCs/>
          <w:vertAlign w:val="subscript"/>
        </w:rPr>
        <w:t>i</w:t>
      </w:r>
      <w:proofErr w:type="spellEnd"/>
      <w:r>
        <w:t xml:space="preserve"> = time </w:t>
      </w:r>
      <w:proofErr w:type="spellStart"/>
      <w:r>
        <w:t>i</w:t>
      </w:r>
      <w:proofErr w:type="spellEnd"/>
      <w:r>
        <w:t xml:space="preserve"> (year)</w:t>
      </w:r>
    </w:p>
    <w:p w14:paraId="7940D83A" w14:textId="1E01FC50" w:rsidR="007A7EFD" w:rsidRDefault="007A7EFD" w:rsidP="00E85794">
      <w:pPr>
        <w:pStyle w:val="CommentText"/>
        <w:spacing w:after="60"/>
        <w:ind w:left="1560" w:firstLine="164"/>
      </w:pPr>
      <w:r w:rsidRPr="00CE78DB">
        <w:rPr>
          <w:rFonts w:asciiTheme="majorHAnsi" w:hAnsiTheme="majorHAnsi"/>
          <w:i/>
          <w:iCs/>
        </w:rPr>
        <w:t>A</w:t>
      </w:r>
      <w:r w:rsidR="004E6D67" w:rsidRPr="00CE78DB">
        <w:rPr>
          <w:rFonts w:asciiTheme="majorHAnsi" w:hAnsiTheme="majorHAnsi"/>
          <w:i/>
          <w:iCs/>
        </w:rPr>
        <w:t>F</w:t>
      </w:r>
      <w:r w:rsidRPr="00CE78DB">
        <w:rPr>
          <w:rFonts w:asciiTheme="majorHAnsi" w:hAnsiTheme="majorHAnsi"/>
          <w:i/>
          <w:iCs/>
          <w:vertAlign w:val="subscript"/>
        </w:rPr>
        <w:t>t1</w:t>
      </w:r>
      <w:r w:rsidRPr="00E85794">
        <w:t xml:space="preserve"> </w:t>
      </w:r>
      <w:r>
        <w:t xml:space="preserve">= forest area at </w:t>
      </w:r>
      <w:r w:rsidRPr="00CE78DB">
        <w:rPr>
          <w:i/>
          <w:iCs/>
        </w:rPr>
        <w:t>t</w:t>
      </w:r>
      <w:r w:rsidRPr="00CE78DB">
        <w:rPr>
          <w:i/>
          <w:iCs/>
          <w:vertAlign w:val="subscript"/>
        </w:rPr>
        <w:t>1</w:t>
      </w:r>
      <w:r w:rsidRPr="00E85794">
        <w:t xml:space="preserve"> </w:t>
      </w:r>
    </w:p>
    <w:p w14:paraId="47B4114C" w14:textId="77E16652" w:rsidR="007A7EFD" w:rsidRDefault="007A7EFD" w:rsidP="00E85794">
      <w:pPr>
        <w:pStyle w:val="CommentText"/>
        <w:spacing w:after="60"/>
        <w:ind w:left="1560" w:firstLine="164"/>
      </w:pPr>
      <w:r w:rsidRPr="00CE78DB">
        <w:rPr>
          <w:rFonts w:asciiTheme="majorHAnsi" w:hAnsiTheme="majorHAnsi"/>
          <w:i/>
          <w:iCs/>
        </w:rPr>
        <w:t>A</w:t>
      </w:r>
      <w:r w:rsidR="004E6D67" w:rsidRPr="00CE78DB">
        <w:rPr>
          <w:rFonts w:asciiTheme="majorHAnsi" w:hAnsiTheme="majorHAnsi"/>
          <w:i/>
          <w:iCs/>
        </w:rPr>
        <w:t>F</w:t>
      </w:r>
      <w:r w:rsidRPr="00CE78DB">
        <w:rPr>
          <w:rFonts w:asciiTheme="majorHAnsi" w:hAnsiTheme="majorHAnsi"/>
          <w:i/>
          <w:iCs/>
          <w:vertAlign w:val="subscript"/>
        </w:rPr>
        <w:t>t2</w:t>
      </w:r>
      <w:r w:rsidRPr="00E85794">
        <w:t xml:space="preserve"> </w:t>
      </w:r>
      <w:r>
        <w:t xml:space="preserve">= forest area at </w:t>
      </w:r>
      <w:r w:rsidRPr="00CE78DB">
        <w:rPr>
          <w:i/>
          <w:iCs/>
        </w:rPr>
        <w:t>t</w:t>
      </w:r>
      <w:r w:rsidRPr="00CE78DB">
        <w:rPr>
          <w:i/>
          <w:iCs/>
          <w:vertAlign w:val="subscript"/>
        </w:rPr>
        <w:t>2</w:t>
      </w:r>
    </w:p>
    <w:p w14:paraId="62085D8F" w14:textId="77777777" w:rsidR="007A7EFD" w:rsidRPr="009F1A9E" w:rsidRDefault="007A7EFD" w:rsidP="00F41485">
      <w:pPr>
        <w:spacing w:after="0"/>
        <w:rPr>
          <w:sz w:val="21"/>
        </w:rPr>
      </w:pPr>
    </w:p>
    <w:p w14:paraId="75FA25B1" w14:textId="77777777" w:rsidR="007A7EFD" w:rsidRPr="009F1A9E" w:rsidRDefault="007A7EFD" w:rsidP="007A7EFD">
      <w:pPr>
        <w:rPr>
          <w:sz w:val="21"/>
          <w:u w:val="single"/>
        </w:rPr>
      </w:pPr>
      <w:r w:rsidRPr="009F1A9E">
        <w:rPr>
          <w:sz w:val="21"/>
          <w:u w:val="single"/>
        </w:rPr>
        <w:t>Translation to dashboard/traffic light:</w:t>
      </w:r>
    </w:p>
    <w:p w14:paraId="1884E2FA" w14:textId="77777777" w:rsidR="007A7EFD" w:rsidRPr="009F1A9E" w:rsidRDefault="007A7EFD" w:rsidP="007A7EFD">
      <w:pPr>
        <w:rPr>
          <w:sz w:val="21"/>
        </w:rPr>
      </w:pPr>
      <w:r w:rsidRPr="009F1A9E">
        <w:rPr>
          <w:sz w:val="21"/>
        </w:rPr>
        <w:t>The following flowchart explains the logic behind the translation of this indicator to a dashboard/traffic light:</w:t>
      </w:r>
    </w:p>
    <w:p w14:paraId="3D04450C" w14:textId="77777777" w:rsidR="007A7EFD" w:rsidRPr="00282BF7" w:rsidRDefault="007A7EFD" w:rsidP="007A7EFD">
      <w:pPr>
        <w:ind w:left="360"/>
        <w:rPr>
          <w:rFonts w:eastAsia="Calibri" w:cstheme="minorHAnsi"/>
        </w:rPr>
      </w:pPr>
      <w:r w:rsidRPr="00282BF7">
        <w:rPr>
          <w:rFonts w:eastAsia="Calibri" w:cstheme="minorHAnsi"/>
          <w:noProof/>
          <w:lang w:val="en-US" w:eastAsia="en-US"/>
        </w:rPr>
        <mc:AlternateContent>
          <mc:Choice Requires="wpg">
            <w:drawing>
              <wp:inline distT="0" distB="0" distL="0" distR="0" wp14:anchorId="41813DCC" wp14:editId="162C9E05">
                <wp:extent cx="1924050" cy="2729865"/>
                <wp:effectExtent l="19050" t="19050" r="19050" b="1333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0" cy="2729865"/>
                          <a:chOff x="0" y="0"/>
                          <a:chExt cx="28997" cy="37548"/>
                        </a:xfrm>
                      </wpg:grpSpPr>
                      <wps:wsp>
                        <wps:cNvPr id="50" name="Flowchart: Decision 32"/>
                        <wps:cNvSpPr>
                          <a:spLocks noChangeArrowheads="1"/>
                        </wps:cNvSpPr>
                        <wps:spPr bwMode="auto">
                          <a:xfrm>
                            <a:off x="0" y="0"/>
                            <a:ext cx="18287" cy="11430"/>
                          </a:xfrm>
                          <a:prstGeom prst="flowChartDecision">
                            <a:avLst/>
                          </a:prstGeom>
                          <a:solidFill>
                            <a:srgbClr val="5B9BD5"/>
                          </a:solidFill>
                          <a:ln w="12700">
                            <a:solidFill>
                              <a:srgbClr val="41719C"/>
                            </a:solidFill>
                            <a:miter lim="800000"/>
                            <a:headEnd/>
                            <a:tailEnd/>
                          </a:ln>
                        </wps:spPr>
                        <wps:txbx>
                          <w:txbxContent>
                            <w:p w14:paraId="42A7B477" w14:textId="77777777" w:rsidR="00007DD5" w:rsidRPr="009675AD" w:rsidRDefault="00007DD5" w:rsidP="007A7EFD">
                              <w:pPr>
                                <w:jc w:val="center"/>
                                <w:rPr>
                                  <w:sz w:val="12"/>
                                  <w:szCs w:val="12"/>
                                </w:rPr>
                              </w:pPr>
                              <w:r w:rsidRPr="009675AD">
                                <w:rPr>
                                  <w:sz w:val="12"/>
                                  <w:szCs w:val="12"/>
                                </w:rPr>
                                <w:t xml:space="preserve">Forest area </w:t>
                              </w:r>
                              <w:r>
                                <w:rPr>
                                  <w:sz w:val="12"/>
                                  <w:szCs w:val="12"/>
                                </w:rPr>
                                <w:t>change direction</w:t>
                              </w:r>
                            </w:p>
                          </w:txbxContent>
                        </wps:txbx>
                        <wps:bodyPr rot="0" vert="horz" wrap="square" lIns="91440" tIns="45720" rIns="91440" bIns="45720" anchor="ctr" anchorCtr="0" upright="1">
                          <a:noAutofit/>
                        </wps:bodyPr>
                      </wps:wsp>
                      <wps:wsp>
                        <wps:cNvPr id="51" name="Text Box 33"/>
                        <wps:cNvSpPr txBox="1">
                          <a:spLocks noChangeArrowheads="1"/>
                        </wps:cNvSpPr>
                        <wps:spPr bwMode="auto">
                          <a:xfrm>
                            <a:off x="16240" y="0"/>
                            <a:ext cx="11111" cy="4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802E0E" w14:textId="77777777" w:rsidR="00007DD5" w:rsidRPr="009675AD" w:rsidRDefault="00007DD5" w:rsidP="007A7EFD">
                              <w:pPr>
                                <w:spacing w:after="0"/>
                                <w:rPr>
                                  <w:sz w:val="12"/>
                                  <w:szCs w:val="12"/>
                                </w:rPr>
                              </w:pPr>
                              <w:r w:rsidRPr="009675AD">
                                <w:rPr>
                                  <w:sz w:val="12"/>
                                  <w:szCs w:val="12"/>
                                </w:rPr>
                                <w:t xml:space="preserve">Forest area stable </w:t>
                              </w:r>
                            </w:p>
                            <w:p w14:paraId="7473B669" w14:textId="77777777" w:rsidR="00007DD5" w:rsidRPr="009675AD" w:rsidRDefault="00007DD5" w:rsidP="007A7EFD">
                              <w:pPr>
                                <w:rPr>
                                  <w:sz w:val="12"/>
                                  <w:szCs w:val="12"/>
                                </w:rPr>
                              </w:pPr>
                              <w:r w:rsidRPr="009675AD">
                                <w:rPr>
                                  <w:sz w:val="12"/>
                                  <w:szCs w:val="12"/>
                                </w:rPr>
                                <w:t>or increasing</w:t>
                              </w:r>
                            </w:p>
                          </w:txbxContent>
                        </wps:txbx>
                        <wps:bodyPr rot="0" vert="horz" wrap="none" lIns="91440" tIns="45720" rIns="91440" bIns="45720" anchor="t" anchorCtr="0" upright="1">
                          <a:noAutofit/>
                        </wps:bodyPr>
                      </wps:wsp>
                      <wps:wsp>
                        <wps:cNvPr id="52" name="Text Box 34"/>
                        <wps:cNvSpPr txBox="1">
                          <a:spLocks noChangeArrowheads="1"/>
                        </wps:cNvSpPr>
                        <wps:spPr bwMode="auto">
                          <a:xfrm>
                            <a:off x="545" y="11327"/>
                            <a:ext cx="11430" cy="4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BB37C38" w14:textId="77777777" w:rsidR="00007DD5" w:rsidRPr="009675AD" w:rsidRDefault="00007DD5" w:rsidP="007A7EFD">
                              <w:pPr>
                                <w:rPr>
                                  <w:sz w:val="12"/>
                                  <w:szCs w:val="12"/>
                                </w:rPr>
                              </w:pPr>
                              <w:r w:rsidRPr="009675AD">
                                <w:rPr>
                                  <w:sz w:val="12"/>
                                  <w:szCs w:val="12"/>
                                </w:rPr>
                                <w:t>Forest area decreasing</w:t>
                              </w:r>
                            </w:p>
                          </w:txbxContent>
                        </wps:txbx>
                        <wps:bodyPr rot="0" vert="horz" wrap="square" lIns="91440" tIns="45720" rIns="91440" bIns="45720" anchor="t" anchorCtr="0" upright="1">
                          <a:noAutofit/>
                        </wps:bodyPr>
                      </wps:wsp>
                      <wps:wsp>
                        <wps:cNvPr id="53" name="Flowchart: Connector 35"/>
                        <wps:cNvSpPr>
                          <a:spLocks noChangeArrowheads="1"/>
                        </wps:cNvSpPr>
                        <wps:spPr bwMode="auto">
                          <a:xfrm>
                            <a:off x="24770" y="3889"/>
                            <a:ext cx="3620" cy="3429"/>
                          </a:xfrm>
                          <a:prstGeom prst="flowChartConnector">
                            <a:avLst/>
                          </a:prstGeom>
                          <a:solidFill>
                            <a:srgbClr val="00B050"/>
                          </a:solidFill>
                          <a:ln w="12700">
                            <a:solidFill>
                              <a:srgbClr val="41719C"/>
                            </a:solidFill>
                            <a:miter lim="800000"/>
                            <a:headEnd/>
                            <a:tailEnd/>
                          </a:ln>
                        </wps:spPr>
                        <wps:bodyPr rot="0" vert="horz" wrap="square" lIns="91440" tIns="45720" rIns="91440" bIns="45720" anchor="ctr" anchorCtr="0" upright="1">
                          <a:noAutofit/>
                        </wps:bodyPr>
                      </wps:wsp>
                      <wps:wsp>
                        <wps:cNvPr id="54" name="Flowchart: Decision 36"/>
                        <wps:cNvSpPr>
                          <a:spLocks noChangeArrowheads="1"/>
                        </wps:cNvSpPr>
                        <wps:spPr bwMode="auto">
                          <a:xfrm>
                            <a:off x="0" y="16036"/>
                            <a:ext cx="18287" cy="11088"/>
                          </a:xfrm>
                          <a:prstGeom prst="flowChartDecision">
                            <a:avLst/>
                          </a:prstGeom>
                          <a:solidFill>
                            <a:srgbClr val="5B9BD5"/>
                          </a:solidFill>
                          <a:ln w="12700">
                            <a:solidFill>
                              <a:srgbClr val="41719C"/>
                            </a:solidFill>
                            <a:miter lim="800000"/>
                            <a:headEnd/>
                            <a:tailEnd/>
                          </a:ln>
                        </wps:spPr>
                        <wps:txbx>
                          <w:txbxContent>
                            <w:p w14:paraId="2282BBB3" w14:textId="77777777" w:rsidR="00007DD5" w:rsidRPr="00A17263" w:rsidRDefault="00007DD5" w:rsidP="007A7EFD">
                              <w:pPr>
                                <w:pStyle w:val="NormalWeb"/>
                                <w:spacing w:line="256" w:lineRule="auto"/>
                                <w:jc w:val="center"/>
                                <w:rPr>
                                  <w:rFonts w:ascii="Calibri" w:hAnsi="Calibri"/>
                                  <w:sz w:val="12"/>
                                  <w:szCs w:val="12"/>
                                </w:rPr>
                              </w:pPr>
                              <w:r w:rsidRPr="00A17263">
                                <w:rPr>
                                  <w:rFonts w:ascii="Calibri" w:eastAsia="Calibri" w:hAnsi="Calibri"/>
                                  <w:sz w:val="12"/>
                                  <w:szCs w:val="12"/>
                                </w:rPr>
                                <w:t xml:space="preserve">Change in forest area loss rate </w:t>
                              </w:r>
                            </w:p>
                          </w:txbxContent>
                        </wps:txbx>
                        <wps:bodyPr rot="0" vert="horz" wrap="square" lIns="91440" tIns="45720" rIns="91440" bIns="45720" anchor="ctr" anchorCtr="0" upright="1">
                          <a:noAutofit/>
                        </wps:bodyPr>
                      </wps:wsp>
                      <wps:wsp>
                        <wps:cNvPr id="55" name="Text Box 12"/>
                        <wps:cNvSpPr txBox="1">
                          <a:spLocks noChangeArrowheads="1"/>
                        </wps:cNvSpPr>
                        <wps:spPr bwMode="auto">
                          <a:xfrm>
                            <a:off x="16355" y="16027"/>
                            <a:ext cx="7800" cy="4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D1E4D77" w14:textId="77777777" w:rsidR="00007DD5" w:rsidRPr="00A17263" w:rsidRDefault="00007DD5" w:rsidP="007A7EFD">
                              <w:pPr>
                                <w:pStyle w:val="NormalWeb"/>
                                <w:spacing w:after="0" w:line="256" w:lineRule="auto"/>
                                <w:rPr>
                                  <w:rFonts w:ascii="Calibri" w:eastAsia="Calibri" w:hAnsi="Calibri"/>
                                  <w:sz w:val="12"/>
                                  <w:szCs w:val="12"/>
                                </w:rPr>
                              </w:pPr>
                              <w:r w:rsidRPr="00A17263">
                                <w:rPr>
                                  <w:rFonts w:ascii="Calibri" w:eastAsia="Calibri" w:hAnsi="Calibri"/>
                                  <w:sz w:val="12"/>
                                  <w:szCs w:val="12"/>
                                </w:rPr>
                                <w:t>Loss rate</w:t>
                              </w:r>
                            </w:p>
                            <w:p w14:paraId="0E8EC512" w14:textId="77777777" w:rsidR="00007DD5" w:rsidRPr="00A17263" w:rsidRDefault="00007DD5" w:rsidP="007A7EFD">
                              <w:pPr>
                                <w:pStyle w:val="NormalWeb"/>
                                <w:spacing w:line="256" w:lineRule="auto"/>
                                <w:rPr>
                                  <w:rFonts w:ascii="Calibri" w:hAnsi="Calibri"/>
                                  <w:sz w:val="12"/>
                                  <w:szCs w:val="12"/>
                                </w:rPr>
                              </w:pPr>
                              <w:r w:rsidRPr="00A17263">
                                <w:rPr>
                                  <w:rFonts w:ascii="Calibri" w:eastAsia="Calibri" w:hAnsi="Calibri"/>
                                  <w:sz w:val="12"/>
                                  <w:szCs w:val="12"/>
                                </w:rPr>
                                <w:t>decreasing</w:t>
                              </w:r>
                            </w:p>
                          </w:txbxContent>
                        </wps:txbx>
                        <wps:bodyPr rot="0" vert="horz" wrap="none" lIns="91440" tIns="45720" rIns="91440" bIns="45720" anchor="t" anchorCtr="0" upright="1">
                          <a:noAutofit/>
                        </wps:bodyPr>
                      </wps:wsp>
                      <wps:wsp>
                        <wps:cNvPr id="56" name="Text Box 12"/>
                        <wps:cNvSpPr txBox="1">
                          <a:spLocks noChangeArrowheads="1"/>
                        </wps:cNvSpPr>
                        <wps:spPr bwMode="auto">
                          <a:xfrm>
                            <a:off x="9905" y="30858"/>
                            <a:ext cx="9991" cy="4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D1A070" w14:textId="77777777" w:rsidR="00007DD5" w:rsidRPr="00A17263" w:rsidRDefault="00007DD5" w:rsidP="007A7EFD">
                              <w:pPr>
                                <w:pStyle w:val="NormalWeb"/>
                                <w:spacing w:after="0" w:line="254" w:lineRule="auto"/>
                                <w:rPr>
                                  <w:rFonts w:ascii="Calibri" w:eastAsia="Calibri" w:hAnsi="Calibri"/>
                                  <w:sz w:val="12"/>
                                  <w:szCs w:val="12"/>
                                </w:rPr>
                              </w:pPr>
                              <w:r w:rsidRPr="00A17263">
                                <w:rPr>
                                  <w:rFonts w:ascii="Calibri" w:eastAsia="Calibri" w:hAnsi="Calibri"/>
                                  <w:sz w:val="12"/>
                                  <w:szCs w:val="12"/>
                                </w:rPr>
                                <w:t>Loss rate stable</w:t>
                              </w:r>
                            </w:p>
                            <w:p w14:paraId="4A04A634" w14:textId="77777777" w:rsidR="00007DD5" w:rsidRPr="00A17263" w:rsidRDefault="00007DD5" w:rsidP="007A7EFD">
                              <w:pPr>
                                <w:pStyle w:val="NormalWeb"/>
                                <w:spacing w:line="254" w:lineRule="auto"/>
                                <w:rPr>
                                  <w:rFonts w:ascii="Calibri" w:hAnsi="Calibri"/>
                                  <w:sz w:val="12"/>
                                  <w:szCs w:val="12"/>
                                </w:rPr>
                              </w:pPr>
                              <w:r w:rsidRPr="00A17263">
                                <w:rPr>
                                  <w:rFonts w:ascii="Calibri" w:eastAsia="Calibri" w:hAnsi="Calibri"/>
                                  <w:sz w:val="12"/>
                                  <w:szCs w:val="12"/>
                                </w:rPr>
                                <w:t>or increasing</w:t>
                              </w:r>
                            </w:p>
                          </w:txbxContent>
                        </wps:txbx>
                        <wps:bodyPr rot="0" vert="horz" wrap="none" lIns="91440" tIns="45720" rIns="91440" bIns="45720" anchor="t" anchorCtr="0" upright="1">
                          <a:noAutofit/>
                        </wps:bodyPr>
                      </wps:wsp>
                      <wps:wsp>
                        <wps:cNvPr id="57" name="Flowchart: Connector 39"/>
                        <wps:cNvSpPr>
                          <a:spLocks noChangeArrowheads="1"/>
                        </wps:cNvSpPr>
                        <wps:spPr bwMode="auto">
                          <a:xfrm>
                            <a:off x="25111" y="19857"/>
                            <a:ext cx="3620" cy="3429"/>
                          </a:xfrm>
                          <a:prstGeom prst="flowChartConnector">
                            <a:avLst/>
                          </a:prstGeom>
                          <a:solidFill>
                            <a:srgbClr val="FFFF00"/>
                          </a:solidFill>
                          <a:ln w="12700">
                            <a:solidFill>
                              <a:srgbClr val="41719C"/>
                            </a:solidFill>
                            <a:miter lim="800000"/>
                            <a:headEnd/>
                            <a:tailEnd/>
                          </a:ln>
                        </wps:spPr>
                        <wps:bodyPr rot="0" vert="horz" wrap="square" lIns="91440" tIns="45720" rIns="91440" bIns="45720" anchor="ctr" anchorCtr="0" upright="1">
                          <a:noAutofit/>
                        </wps:bodyPr>
                      </wps:wsp>
                      <wps:wsp>
                        <wps:cNvPr id="58" name="Flowchart: Connector 40"/>
                        <wps:cNvSpPr>
                          <a:spLocks noChangeArrowheads="1"/>
                        </wps:cNvSpPr>
                        <wps:spPr bwMode="auto">
                          <a:xfrm>
                            <a:off x="25384" y="34119"/>
                            <a:ext cx="3613" cy="3429"/>
                          </a:xfrm>
                          <a:prstGeom prst="flowChartConnector">
                            <a:avLst/>
                          </a:prstGeom>
                          <a:solidFill>
                            <a:srgbClr val="FF0000"/>
                          </a:solidFill>
                          <a:ln w="12700">
                            <a:solidFill>
                              <a:srgbClr val="41719C"/>
                            </a:solidFill>
                            <a:miter lim="800000"/>
                            <a:headEnd/>
                            <a:tailEnd/>
                          </a:ln>
                        </wps:spPr>
                        <wps:bodyPr rot="0" vert="horz" wrap="square" lIns="91440" tIns="45720" rIns="91440" bIns="45720" anchor="ctr" anchorCtr="0" upright="1">
                          <a:noAutofit/>
                        </wps:bodyPr>
                      </wps:wsp>
                      <wps:wsp>
                        <wps:cNvPr id="59" name="Straight Arrow Connector 4"/>
                        <wps:cNvCnPr>
                          <a:cxnSpLocks noChangeShapeType="1"/>
                        </wps:cNvCnPr>
                        <wps:spPr bwMode="auto">
                          <a:xfrm>
                            <a:off x="9075" y="11464"/>
                            <a:ext cx="38" cy="4572"/>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60" name="Straight Arrow Connector 8"/>
                        <wps:cNvCnPr>
                          <a:cxnSpLocks noChangeShapeType="1"/>
                        </wps:cNvCnPr>
                        <wps:spPr bwMode="auto">
                          <a:xfrm flipV="1">
                            <a:off x="18288" y="5595"/>
                            <a:ext cx="6479" cy="128"/>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61" name="Straight Arrow Connector 9"/>
                        <wps:cNvCnPr>
                          <a:cxnSpLocks noChangeShapeType="1"/>
                        </wps:cNvCnPr>
                        <wps:spPr bwMode="auto">
                          <a:xfrm flipV="1">
                            <a:off x="18288" y="21563"/>
                            <a:ext cx="6817" cy="1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62" name="Elbow Connector 24"/>
                        <wps:cNvCnPr>
                          <a:cxnSpLocks noChangeShapeType="1"/>
                        </wps:cNvCnPr>
                        <wps:spPr bwMode="auto">
                          <a:xfrm rot="16200000" flipH="1">
                            <a:off x="12931" y="23303"/>
                            <a:ext cx="8692" cy="16264"/>
                          </a:xfrm>
                          <a:prstGeom prst="bentConnector2">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41813DCC" id="Group 49" o:spid="_x0000_s1026" style="width:151.5pt;height:214.95pt;mso-position-horizontal-relative:char;mso-position-vertical-relative:line" coordsize="28997,3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">
                <v:shapetype id="_x0000_t110" coordsize="21600,21600" o:spt="110" path="m10800,l,10800,10800,21600,21600,10800xe">
                  <v:stroke joinstyle="miter"/>
                  <v:path gradientshapeok="t" o:connecttype="rect" textboxrect="5400,5400,16200,16200"/>
                </v:shapetype>
                <v:shape id="Flowchart: Decision 32" o:spid="_x0000_s1027" type="#_x0000_t110" style="position:absolute;width:18287;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" fillcolor="#5b9bd5" strokecolor="#41719c" strokeweight="1pt">
                  <v:textbox>
                    <w:txbxContent>
                      <w:p w14:paraId="42A7B477" w14:textId="77777777" w:rsidR="00007DD5" w:rsidRPr="009675AD" w:rsidRDefault="00007DD5" w:rsidP="007A7EFD">
                        <w:pPr>
                          <w:jc w:val="center"/>
                          <w:rPr>
                            <w:sz w:val="12"/>
                            <w:szCs w:val="12"/>
                          </w:rPr>
                        </w:pPr>
                        <w:r w:rsidRPr="009675AD">
                          <w:rPr>
                            <w:sz w:val="12"/>
                            <w:szCs w:val="12"/>
                          </w:rPr>
                          <w:t xml:space="preserve">Forest area </w:t>
                        </w:r>
                        <w:r>
                          <w:rPr>
                            <w:sz w:val="12"/>
                            <w:szCs w:val="12"/>
                          </w:rPr>
                          <w:t>change direction</w:t>
                        </w:r>
                      </w:p>
                    </w:txbxContent>
                  </v:textbox>
                </v:shape>
                <v:shapetype id="_x0000_t202" coordsize="21600,21600" o:spt="202" path="m,l,21600r21600,l21600,xe">
                  <v:stroke joinstyle="miter"/>
                  <v:path gradientshapeok="t" o:connecttype="rect"/>
                </v:shapetype>
                <v:shape id="Text Box 33" o:spid="_x0000_s1028" type="#_x0000_t202" style="position:absolute;left:16240;width:11111;height:45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" filled="f" stroked="f" strokeweight=".5pt">
                  <v:textbox>
                    <w:txbxContent>
                      <w:p w14:paraId="74802E0E" w14:textId="77777777" w:rsidR="00007DD5" w:rsidRPr="009675AD" w:rsidRDefault="00007DD5" w:rsidP="007A7EFD">
                        <w:pPr>
                          <w:spacing w:after="0"/>
                          <w:rPr>
                            <w:sz w:val="12"/>
                            <w:szCs w:val="12"/>
                          </w:rPr>
                        </w:pPr>
                        <w:r w:rsidRPr="009675AD">
                          <w:rPr>
                            <w:sz w:val="12"/>
                            <w:szCs w:val="12"/>
                          </w:rPr>
                          <w:t xml:space="preserve">Forest area stable </w:t>
                        </w:r>
                      </w:p>
                      <w:p w14:paraId="7473B669" w14:textId="77777777" w:rsidR="00007DD5" w:rsidRPr="009675AD" w:rsidRDefault="00007DD5" w:rsidP="007A7EFD">
                        <w:pPr>
                          <w:rPr>
                            <w:sz w:val="12"/>
                            <w:szCs w:val="12"/>
                          </w:rPr>
                        </w:pPr>
                        <w:r w:rsidRPr="009675AD">
                          <w:rPr>
                            <w:sz w:val="12"/>
                            <w:szCs w:val="12"/>
                          </w:rPr>
                          <w:t>or increasing</w:t>
                        </w:r>
                      </w:p>
                    </w:txbxContent>
                  </v:textbox>
                </v:shape>
                <v:shape id="Text Box 34" o:spid="_x0000_s1029" type="#_x0000_t202" style="position:absolute;left:545;top:11327;width:1143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5BB37C38" w14:textId="77777777" w:rsidR="00007DD5" w:rsidRPr="009675AD" w:rsidRDefault="00007DD5" w:rsidP="007A7EFD">
                        <w:pPr>
                          <w:rPr>
                            <w:sz w:val="12"/>
                            <w:szCs w:val="12"/>
                          </w:rPr>
                        </w:pPr>
                        <w:r w:rsidRPr="009675AD">
                          <w:rPr>
                            <w:sz w:val="12"/>
                            <w:szCs w:val="12"/>
                          </w:rPr>
                          <w:t>Forest area decreasing</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5" o:spid="_x0000_s1030" type="#_x0000_t120" style="position:absolute;left:24770;top:3889;width:362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" fillcolor="#00b050" strokecolor="#41719c" strokeweight="1pt">
                  <v:stroke joinstyle="miter"/>
                </v:shape>
                <v:shape id="Flowchart: Decision 36" o:spid="_x0000_s1031" type="#_x0000_t110" style="position:absolute;top:16036;width:18287;height:11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" fillcolor="#5b9bd5" strokecolor="#41719c" strokeweight="1pt">
                  <v:textbox>
                    <w:txbxContent>
                      <w:p w14:paraId="2282BBB3" w14:textId="77777777" w:rsidR="00007DD5" w:rsidRPr="00A17263" w:rsidRDefault="00007DD5" w:rsidP="007A7EFD">
                        <w:pPr>
                          <w:pStyle w:val="NormalWeb"/>
                          <w:spacing w:line="256" w:lineRule="auto"/>
                          <w:jc w:val="center"/>
                          <w:rPr>
                            <w:rFonts w:ascii="Calibri" w:hAnsi="Calibri"/>
                            <w:sz w:val="12"/>
                            <w:szCs w:val="12"/>
                          </w:rPr>
                        </w:pPr>
                        <w:r w:rsidRPr="00A17263">
                          <w:rPr>
                            <w:rFonts w:ascii="Calibri" w:eastAsia="Calibri" w:hAnsi="Calibri"/>
                            <w:sz w:val="12"/>
                            <w:szCs w:val="12"/>
                          </w:rPr>
                          <w:t xml:space="preserve">Change in forest area loss rate </w:t>
                        </w:r>
                      </w:p>
                    </w:txbxContent>
                  </v:textbox>
                </v:shape>
                <v:shape id="Text Box 12" o:spid="_x0000_s1032" type="#_x0000_t202" style="position:absolute;left:16355;top:16027;width:7800;height:42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" filled="f" stroked="f" strokeweight=".5pt">
                  <v:textbox>
                    <w:txbxContent>
                      <w:p w14:paraId="7D1E4D77" w14:textId="77777777" w:rsidR="00007DD5" w:rsidRPr="00A17263" w:rsidRDefault="00007DD5" w:rsidP="007A7EFD">
                        <w:pPr>
                          <w:pStyle w:val="NormalWeb"/>
                          <w:spacing w:after="0" w:line="256" w:lineRule="auto"/>
                          <w:rPr>
                            <w:rFonts w:ascii="Calibri" w:eastAsia="Calibri" w:hAnsi="Calibri"/>
                            <w:sz w:val="12"/>
                            <w:szCs w:val="12"/>
                          </w:rPr>
                        </w:pPr>
                        <w:r w:rsidRPr="00A17263">
                          <w:rPr>
                            <w:rFonts w:ascii="Calibri" w:eastAsia="Calibri" w:hAnsi="Calibri"/>
                            <w:sz w:val="12"/>
                            <w:szCs w:val="12"/>
                          </w:rPr>
                          <w:t>Loss rate</w:t>
                        </w:r>
                      </w:p>
                      <w:p w14:paraId="0E8EC512" w14:textId="77777777" w:rsidR="00007DD5" w:rsidRPr="00A17263" w:rsidRDefault="00007DD5" w:rsidP="007A7EFD">
                        <w:pPr>
                          <w:pStyle w:val="NormalWeb"/>
                          <w:spacing w:line="256" w:lineRule="auto"/>
                          <w:rPr>
                            <w:rFonts w:ascii="Calibri" w:hAnsi="Calibri"/>
                            <w:sz w:val="12"/>
                            <w:szCs w:val="12"/>
                          </w:rPr>
                        </w:pPr>
                        <w:r w:rsidRPr="00A17263">
                          <w:rPr>
                            <w:rFonts w:ascii="Calibri" w:eastAsia="Calibri" w:hAnsi="Calibri"/>
                            <w:sz w:val="12"/>
                            <w:szCs w:val="12"/>
                          </w:rPr>
                          <w:t>decreasing</w:t>
                        </w:r>
                      </w:p>
                    </w:txbxContent>
                  </v:textbox>
                </v:shape>
                <v:shape id="Text Box 12" o:spid="_x0000_s1033" type="#_x0000_t202" style="position:absolute;left:9905;top:30858;width:9991;height:43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WQcxQAAANsAAAAPAAAAZHJzL2Rvd25yZXYueG1sRI9BawIx&#10;FITvgv8hvEIvUrMWus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ArSWQcxQAAANsAAAAP&#10;AAAAAAAAAAAAAAAAAAcCAABkcnMvZG93bnJldi54bWxQSwUGAAAAAAMAAwC3AAAA+QIAAAAA&#10;" filled="f" stroked="f" strokeweight=".5pt">
                  <v:textbox>
                    <w:txbxContent>
                      <w:p w14:paraId="09D1A070" w14:textId="77777777" w:rsidR="00007DD5" w:rsidRPr="00A17263" w:rsidRDefault="00007DD5" w:rsidP="007A7EFD">
                        <w:pPr>
                          <w:pStyle w:val="NormalWeb"/>
                          <w:spacing w:after="0" w:line="254" w:lineRule="auto"/>
                          <w:rPr>
                            <w:rFonts w:ascii="Calibri" w:eastAsia="Calibri" w:hAnsi="Calibri"/>
                            <w:sz w:val="12"/>
                            <w:szCs w:val="12"/>
                          </w:rPr>
                        </w:pPr>
                        <w:r w:rsidRPr="00A17263">
                          <w:rPr>
                            <w:rFonts w:ascii="Calibri" w:eastAsia="Calibri" w:hAnsi="Calibri"/>
                            <w:sz w:val="12"/>
                            <w:szCs w:val="12"/>
                          </w:rPr>
                          <w:t>Loss rate stable</w:t>
                        </w:r>
                      </w:p>
                      <w:p w14:paraId="4A04A634" w14:textId="77777777" w:rsidR="00007DD5" w:rsidRPr="00A17263" w:rsidRDefault="00007DD5" w:rsidP="007A7EFD">
                        <w:pPr>
                          <w:pStyle w:val="NormalWeb"/>
                          <w:spacing w:line="254" w:lineRule="auto"/>
                          <w:rPr>
                            <w:rFonts w:ascii="Calibri" w:hAnsi="Calibri"/>
                            <w:sz w:val="12"/>
                            <w:szCs w:val="12"/>
                          </w:rPr>
                        </w:pPr>
                        <w:r w:rsidRPr="00A17263">
                          <w:rPr>
                            <w:rFonts w:ascii="Calibri" w:eastAsia="Calibri" w:hAnsi="Calibri"/>
                            <w:sz w:val="12"/>
                            <w:szCs w:val="12"/>
                          </w:rPr>
                          <w:t>or increasing</w:t>
                        </w:r>
                      </w:p>
                    </w:txbxContent>
                  </v:textbox>
                </v:shape>
                <v:shape id="Flowchart: Connector 39" o:spid="_x0000_s1034" type="#_x0000_t120" style="position:absolute;left:25111;top:19857;width:3620;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" fillcolor="yellow" strokecolor="#41719c" strokeweight="1pt">
                  <v:stroke joinstyle="miter"/>
                </v:shape>
                <v:shape id="Flowchart: Connector 40" o:spid="_x0000_s1035" type="#_x0000_t120" style="position:absolute;left:25384;top:34119;width:361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" fillcolor="red" strokecolor="#41719c" strokeweight="1pt">
                  <v:stroke joinstyle="miter"/>
                </v:shape>
                <v:shapetype id="_x0000_t32" coordsize="21600,21600" o:spt="32" o:oned="t" path="m,l21600,21600e" filled="f">
                  <v:path arrowok="t" fillok="f" o:connecttype="none"/>
                  <o:lock v:ext="edit" shapetype="t"/>
                </v:shapetype>
                <v:shape id="Straight Arrow Connector 4" o:spid="_x0000_s1036" type="#_x0000_t32" style="position:absolute;left:9075;top:11464;width:38;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" strokecolor="#5b9bd5" strokeweight="1.5pt">
                  <v:stroke endarrow="block" joinstyle="miter"/>
                </v:shape>
                <v:shape id="Straight Arrow Connector 8" o:spid="_x0000_s1037" type="#_x0000_t32" style="position:absolute;left:18288;top:5595;width:6479;height:1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" strokecolor="#5b9bd5" strokeweight="1.5pt">
                  <v:stroke endarrow="block" joinstyle="miter"/>
                </v:shape>
                <v:shape id="Straight Arrow Connector 9" o:spid="_x0000_s1038" type="#_x0000_t32" style="position:absolute;left:18288;top:21563;width:6817;height: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" strokecolor="#5b9bd5" strokeweight="1.5pt">
                  <v:stroke endarrow="block" joinstyle="miter"/>
                </v:shape>
                <v:shapetype id="_x0000_t33" coordsize="21600,21600" o:spt="33" o:oned="t" path="m,l21600,r,21600e" filled="f">
                  <v:stroke joinstyle="miter"/>
                  <v:path arrowok="t" fillok="f" o:connecttype="none"/>
                  <o:lock v:ext="edit" shapetype="t"/>
                </v:shapetype>
                <v:shape id="Elbow Connector 24" o:spid="_x0000_s1039" type="#_x0000_t33" style="position:absolute;left:12931;top:23303;width:8692;height:1626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" strokecolor="#5b9bd5" strokeweight="1.5pt">
                  <v:stroke endarrow="block"/>
                </v:shape>
                <w10:anchorlock/>
              </v:group>
            </w:pict>
          </mc:Fallback>
        </mc:AlternateContent>
      </w:r>
    </w:p>
    <w:p w14:paraId="67D9A7FC" w14:textId="25EC86F1" w:rsidR="007A7EFD" w:rsidRPr="009F1A9E" w:rsidRDefault="007A7EFD" w:rsidP="007A7EFD">
      <w:pPr>
        <w:rPr>
          <w:sz w:val="21"/>
        </w:rPr>
      </w:pPr>
      <w:r w:rsidRPr="009F1A9E">
        <w:rPr>
          <w:sz w:val="21"/>
        </w:rPr>
        <w:t>The forest area change direction is determined by examining the value of the forest area change rate for the most recent period</w:t>
      </w:r>
      <w:r w:rsidR="009014D4">
        <w:rPr>
          <w:sz w:val="21"/>
        </w:rPr>
        <w:t>;</w:t>
      </w:r>
      <w:r w:rsidRPr="009F1A9E">
        <w:rPr>
          <w:sz w:val="21"/>
        </w:rPr>
        <w:t xml:space="preserve"> a negative value indicate</w:t>
      </w:r>
      <w:r w:rsidR="006C7E42">
        <w:rPr>
          <w:sz w:val="21"/>
        </w:rPr>
        <w:t>s</w:t>
      </w:r>
      <w:r w:rsidRPr="009F1A9E">
        <w:rPr>
          <w:sz w:val="21"/>
        </w:rPr>
        <w:t xml:space="preserve"> a loss of forest area, a zero value means that forest area is stable</w:t>
      </w:r>
      <w:r w:rsidR="004E6D67" w:rsidRPr="009F1A9E">
        <w:rPr>
          <w:sz w:val="21"/>
        </w:rPr>
        <w:t>,</w:t>
      </w:r>
      <w:r w:rsidRPr="009F1A9E">
        <w:rPr>
          <w:sz w:val="21"/>
        </w:rPr>
        <w:t xml:space="preserve"> and a positive value means that forest area has increased. The change in</w:t>
      </w:r>
      <w:r w:rsidR="002E3003">
        <w:rPr>
          <w:sz w:val="21"/>
        </w:rPr>
        <w:t xml:space="preserve"> the</w:t>
      </w:r>
      <w:r w:rsidRPr="009F1A9E">
        <w:rPr>
          <w:sz w:val="21"/>
        </w:rPr>
        <w:t xml:space="preserve"> forest area loss rate</w:t>
      </w:r>
      <w:r>
        <w:rPr>
          <w:rStyle w:val="FootnoteReference"/>
          <w:sz w:val="21"/>
        </w:rPr>
        <w:footnoteReference w:id="2"/>
      </w:r>
      <w:r w:rsidRPr="009F1A9E">
        <w:rPr>
          <w:sz w:val="21"/>
        </w:rPr>
        <w:t xml:space="preserve"> is based on a comparison of the </w:t>
      </w:r>
      <w:r>
        <w:rPr>
          <w:sz w:val="21"/>
        </w:rPr>
        <w:t xml:space="preserve">annual </w:t>
      </w:r>
      <w:r w:rsidRPr="009F1A9E">
        <w:rPr>
          <w:sz w:val="21"/>
        </w:rPr>
        <w:t xml:space="preserve">forest area change rate </w:t>
      </w:r>
      <w:r>
        <w:rPr>
          <w:rFonts w:eastAsia="Calibri" w:cstheme="minorHAnsi"/>
          <w:sz w:val="21"/>
          <w:szCs w:val="21"/>
        </w:rPr>
        <w:t xml:space="preserve">for the period </w:t>
      </w:r>
      <w:r w:rsidR="00924D09">
        <w:rPr>
          <w:rFonts w:eastAsia="Calibri" w:cstheme="minorHAnsi"/>
          <w:sz w:val="21"/>
          <w:szCs w:val="21"/>
        </w:rPr>
        <w:t>2015</w:t>
      </w:r>
      <w:r>
        <w:rPr>
          <w:rFonts w:eastAsia="Calibri" w:cstheme="minorHAnsi"/>
          <w:sz w:val="21"/>
          <w:szCs w:val="21"/>
        </w:rPr>
        <w:t>-</w:t>
      </w:r>
      <w:r w:rsidR="00924D09">
        <w:rPr>
          <w:rFonts w:eastAsia="Calibri" w:cstheme="minorHAnsi"/>
          <w:sz w:val="21"/>
          <w:szCs w:val="21"/>
        </w:rPr>
        <w:t xml:space="preserve">2025 </w:t>
      </w:r>
      <w:r w:rsidRPr="009F1A9E">
        <w:rPr>
          <w:sz w:val="21"/>
        </w:rPr>
        <w:t xml:space="preserve">with the </w:t>
      </w:r>
      <w:r>
        <w:rPr>
          <w:sz w:val="21"/>
        </w:rPr>
        <w:t xml:space="preserve">annual </w:t>
      </w:r>
      <w:r w:rsidRPr="009F1A9E">
        <w:rPr>
          <w:sz w:val="21"/>
          <w:u w:val="single"/>
        </w:rPr>
        <w:t xml:space="preserve">forest area change rate for the period </w:t>
      </w:r>
      <w:r w:rsidRPr="00656DA6">
        <w:rPr>
          <w:rFonts w:eastAsia="Calibri" w:cstheme="minorHAnsi"/>
          <w:sz w:val="21"/>
          <w:szCs w:val="21"/>
          <w:u w:val="single"/>
        </w:rPr>
        <w:t>2000-</w:t>
      </w:r>
      <w:r w:rsidR="00924D09">
        <w:rPr>
          <w:sz w:val="21"/>
          <w:u w:val="single"/>
        </w:rPr>
        <w:t xml:space="preserve">2015 </w:t>
      </w:r>
      <w:r>
        <w:rPr>
          <w:sz w:val="21"/>
        </w:rPr>
        <w:t>(</w:t>
      </w:r>
      <w:r w:rsidRPr="009F1A9E">
        <w:rPr>
          <w:sz w:val="21"/>
          <w:u w:val="single"/>
        </w:rPr>
        <w:t>baseline</w:t>
      </w:r>
      <w:r>
        <w:rPr>
          <w:sz w:val="21"/>
          <w:u w:val="single"/>
        </w:rPr>
        <w:t>)</w:t>
      </w:r>
      <w:r w:rsidRPr="009F1A9E">
        <w:rPr>
          <w:sz w:val="21"/>
          <w:u w:val="single"/>
        </w:rPr>
        <w:t>.</w:t>
      </w:r>
    </w:p>
    <w:p w14:paraId="240E6B74" w14:textId="77777777" w:rsidR="007A7EFD" w:rsidRPr="009F1A9E" w:rsidRDefault="007A7EFD" w:rsidP="009124DD">
      <w:pPr>
        <w:spacing w:after="0"/>
        <w:rPr>
          <w:sz w:val="21"/>
        </w:rPr>
      </w:pPr>
    </w:p>
    <w:p w14:paraId="583D131C" w14:textId="77777777" w:rsidR="007A7EFD" w:rsidRPr="009F1A9E" w:rsidRDefault="007A7EFD" w:rsidP="007A7EFD">
      <w:pPr>
        <w:rPr>
          <w:sz w:val="21"/>
          <w:u w:val="single"/>
        </w:rPr>
      </w:pPr>
      <w:r w:rsidRPr="009F1A9E">
        <w:rPr>
          <w:sz w:val="21"/>
          <w:u w:val="single"/>
        </w:rPr>
        <w:lastRenderedPageBreak/>
        <w:t>Comments:</w:t>
      </w:r>
    </w:p>
    <w:p w14:paraId="3A130E6F" w14:textId="4CB11F77" w:rsidR="007A7EFD" w:rsidRPr="009F1A9E" w:rsidRDefault="007A7EFD" w:rsidP="007A7EFD">
      <w:pPr>
        <w:rPr>
          <w:sz w:val="21"/>
        </w:rPr>
      </w:pPr>
      <w:r w:rsidRPr="009F1A9E">
        <w:rPr>
          <w:sz w:val="21"/>
        </w:rPr>
        <w:t xml:space="preserve">This traffic light </w:t>
      </w:r>
      <w:r w:rsidR="00637BA5">
        <w:rPr>
          <w:sz w:val="21"/>
        </w:rPr>
        <w:t>accounts for</w:t>
      </w:r>
      <w:r w:rsidRPr="009F1A9E">
        <w:rPr>
          <w:sz w:val="21"/>
        </w:rPr>
        <w:t xml:space="preserve"> both the direction of forest area change (if forest area increases or decreases) as well as changes in the rate of forest area loss – the latter</w:t>
      </w:r>
      <w:r w:rsidR="00173ACB">
        <w:rPr>
          <w:sz w:val="21"/>
        </w:rPr>
        <w:t xml:space="preserve"> is</w:t>
      </w:r>
      <w:r w:rsidRPr="009F1A9E">
        <w:rPr>
          <w:sz w:val="21"/>
        </w:rPr>
        <w:t xml:space="preserve"> </w:t>
      </w:r>
      <w:r w:rsidR="00173ACB">
        <w:rPr>
          <w:sz w:val="21"/>
        </w:rPr>
        <w:t xml:space="preserve">an </w:t>
      </w:r>
      <w:r w:rsidRPr="009F1A9E">
        <w:rPr>
          <w:sz w:val="21"/>
        </w:rPr>
        <w:t xml:space="preserve">important </w:t>
      </w:r>
      <w:r w:rsidR="00173ACB">
        <w:rPr>
          <w:sz w:val="21"/>
        </w:rPr>
        <w:t>indication of</w:t>
      </w:r>
      <w:r w:rsidRPr="009F1A9E">
        <w:rPr>
          <w:sz w:val="21"/>
        </w:rPr>
        <w:t xml:space="preserve"> progress among countries that are losing forest area but manag</w:t>
      </w:r>
      <w:r w:rsidR="00173ACB">
        <w:rPr>
          <w:sz w:val="21"/>
        </w:rPr>
        <w:t>ing</w:t>
      </w:r>
      <w:r w:rsidRPr="009F1A9E">
        <w:rPr>
          <w:sz w:val="21"/>
        </w:rPr>
        <w:t xml:space="preserve"> to reduce the loss rate. </w:t>
      </w:r>
    </w:p>
    <w:p w14:paraId="081D9C6F" w14:textId="20627FDC" w:rsidR="007A7EFD" w:rsidRPr="009F1A9E" w:rsidRDefault="007A7EFD" w:rsidP="007A7EFD">
      <w:pPr>
        <w:rPr>
          <w:sz w:val="21"/>
        </w:rPr>
      </w:pPr>
      <w:r w:rsidRPr="009F1A9E">
        <w:rPr>
          <w:sz w:val="21"/>
        </w:rPr>
        <w:t>The baseline should be updated every 5 years</w:t>
      </w:r>
      <w:r w:rsidRPr="00656DA6">
        <w:rPr>
          <w:rFonts w:eastAsia="Calibri" w:cstheme="minorHAnsi"/>
          <w:sz w:val="21"/>
          <w:szCs w:val="21"/>
        </w:rPr>
        <w:t>. In</w:t>
      </w:r>
      <w:r w:rsidRPr="009F1A9E">
        <w:rPr>
          <w:sz w:val="21"/>
        </w:rPr>
        <w:t xml:space="preserve"> </w:t>
      </w:r>
      <w:r w:rsidR="000F6BED">
        <w:rPr>
          <w:sz w:val="21"/>
        </w:rPr>
        <w:t>2025</w:t>
      </w:r>
      <w:r w:rsidR="00564450">
        <w:rPr>
          <w:sz w:val="21"/>
        </w:rPr>
        <w:t>,</w:t>
      </w:r>
      <w:r w:rsidR="000F6BED" w:rsidRPr="009F1A9E">
        <w:rPr>
          <w:sz w:val="21"/>
        </w:rPr>
        <w:t xml:space="preserve"> </w:t>
      </w:r>
      <w:r w:rsidRPr="009F1A9E">
        <w:rPr>
          <w:sz w:val="21"/>
        </w:rPr>
        <w:t xml:space="preserve">a new baseline </w:t>
      </w:r>
      <w:r w:rsidRPr="00656DA6">
        <w:rPr>
          <w:rFonts w:eastAsia="Calibri" w:cstheme="minorHAnsi"/>
          <w:sz w:val="21"/>
          <w:szCs w:val="21"/>
        </w:rPr>
        <w:t>was</w:t>
      </w:r>
      <w:r w:rsidRPr="009F1A9E">
        <w:rPr>
          <w:sz w:val="21"/>
        </w:rPr>
        <w:t xml:space="preserve"> calculated</w:t>
      </w:r>
      <w:r>
        <w:rPr>
          <w:sz w:val="21"/>
        </w:rPr>
        <w:t xml:space="preserve"> </w:t>
      </w:r>
      <w:r>
        <w:rPr>
          <w:rFonts w:eastAsia="Calibri" w:cstheme="minorHAnsi"/>
          <w:sz w:val="21"/>
          <w:szCs w:val="21"/>
        </w:rPr>
        <w:t xml:space="preserve">for the period </w:t>
      </w:r>
      <w:r w:rsidR="00925267">
        <w:rPr>
          <w:rFonts w:eastAsia="Calibri" w:cstheme="minorHAnsi"/>
          <w:sz w:val="21"/>
          <w:szCs w:val="21"/>
        </w:rPr>
        <w:t>2000-2015</w:t>
      </w:r>
      <w:r w:rsidR="00EB75D4">
        <w:rPr>
          <w:rFonts w:eastAsia="Calibri" w:cstheme="minorHAnsi"/>
          <w:sz w:val="21"/>
          <w:szCs w:val="21"/>
        </w:rPr>
        <w:t>,</w:t>
      </w:r>
      <w:r w:rsidR="000F6BED">
        <w:rPr>
          <w:rFonts w:eastAsia="Calibri" w:cstheme="minorHAnsi"/>
          <w:sz w:val="21"/>
          <w:szCs w:val="21"/>
        </w:rPr>
        <w:t xml:space="preserve"> </w:t>
      </w:r>
      <w:r>
        <w:rPr>
          <w:rFonts w:eastAsia="Calibri" w:cstheme="minorHAnsi"/>
          <w:sz w:val="21"/>
          <w:szCs w:val="21"/>
        </w:rPr>
        <w:t>based on updated country data</w:t>
      </w:r>
      <w:r w:rsidRPr="009F1A9E">
        <w:rPr>
          <w:sz w:val="21"/>
        </w:rPr>
        <w:t xml:space="preserve">. </w:t>
      </w:r>
    </w:p>
    <w:p w14:paraId="7306F536" w14:textId="77777777" w:rsidR="007A7EFD" w:rsidRDefault="007A7EFD" w:rsidP="009124DD">
      <w:pPr>
        <w:spacing w:after="0"/>
      </w:pPr>
    </w:p>
    <w:p w14:paraId="6CF9FCDE" w14:textId="206D5317" w:rsidR="007A7EFD" w:rsidRPr="009F1A9E" w:rsidRDefault="007A7EFD" w:rsidP="007A7EFD">
      <w:pPr>
        <w:rPr>
          <w:b/>
          <w:sz w:val="21"/>
        </w:rPr>
      </w:pPr>
      <w:r w:rsidRPr="009F1A9E">
        <w:rPr>
          <w:b/>
          <w:sz w:val="21"/>
        </w:rPr>
        <w:t xml:space="preserve">Sub-indicator 2 – Above-ground biomass in forest </w:t>
      </w:r>
    </w:p>
    <w:p w14:paraId="4D66D259" w14:textId="77777777" w:rsidR="007A7EFD" w:rsidRPr="009F1A9E" w:rsidRDefault="007A7EFD" w:rsidP="007A7EFD">
      <w:pPr>
        <w:rPr>
          <w:sz w:val="21"/>
        </w:rPr>
      </w:pPr>
      <w:r w:rsidRPr="009F1A9E">
        <w:rPr>
          <w:sz w:val="21"/>
          <w:u w:val="single"/>
        </w:rPr>
        <w:t>Unit</w:t>
      </w:r>
      <w:r w:rsidRPr="009F1A9E">
        <w:rPr>
          <w:sz w:val="21"/>
        </w:rPr>
        <w:t>: tonnes/hectare</w:t>
      </w:r>
    </w:p>
    <w:p w14:paraId="7CA08A5A" w14:textId="77777777" w:rsidR="007A7EFD" w:rsidRPr="009F1A9E" w:rsidRDefault="007A7EFD" w:rsidP="007A7EFD">
      <w:pPr>
        <w:rPr>
          <w:sz w:val="21"/>
        </w:rPr>
      </w:pPr>
      <w:r w:rsidRPr="009F1A9E">
        <w:rPr>
          <w:sz w:val="21"/>
          <w:u w:val="single"/>
        </w:rPr>
        <w:t>Reference year:</w:t>
      </w:r>
      <w:r w:rsidRPr="009F1A9E">
        <w:rPr>
          <w:sz w:val="21"/>
        </w:rPr>
        <w:t xml:space="preserve"> Latest reporting year</w:t>
      </w:r>
    </w:p>
    <w:p w14:paraId="35E89FB9" w14:textId="77777777" w:rsidR="007A7EFD" w:rsidRPr="009F1A9E" w:rsidRDefault="007A7EFD" w:rsidP="007A7EFD">
      <w:pPr>
        <w:rPr>
          <w:sz w:val="21"/>
        </w:rPr>
      </w:pPr>
      <w:r w:rsidRPr="009F1A9E">
        <w:rPr>
          <w:sz w:val="21"/>
          <w:u w:val="single"/>
        </w:rPr>
        <w:t>Method of estimation:</w:t>
      </w:r>
      <w:r w:rsidRPr="009F1A9E">
        <w:rPr>
          <w:sz w:val="21"/>
        </w:rPr>
        <w:t xml:space="preserve"> </w:t>
      </w:r>
      <w:r w:rsidRPr="00656DA6">
        <w:rPr>
          <w:rFonts w:eastAsia="Calibri" w:cstheme="minorHAnsi"/>
          <w:sz w:val="21"/>
          <w:szCs w:val="21"/>
        </w:rPr>
        <w:t>Reported directly by countries</w:t>
      </w:r>
    </w:p>
    <w:p w14:paraId="38444DF4" w14:textId="77777777" w:rsidR="007A7EFD" w:rsidRPr="009F1A9E" w:rsidRDefault="007A7EFD" w:rsidP="007A7EFD">
      <w:pPr>
        <w:rPr>
          <w:sz w:val="21"/>
          <w:u w:val="single"/>
        </w:rPr>
      </w:pPr>
      <w:r w:rsidRPr="009F1A9E">
        <w:rPr>
          <w:sz w:val="21"/>
          <w:u w:val="single"/>
        </w:rPr>
        <w:t>Translation to dashboard/traffic light:</w:t>
      </w:r>
    </w:p>
    <w:p w14:paraId="2F6F6A00" w14:textId="7DCFD0DE" w:rsidR="007A7EFD" w:rsidRPr="009F1A9E" w:rsidRDefault="007A7EFD" w:rsidP="007A7EFD">
      <w:pPr>
        <w:rPr>
          <w:sz w:val="21"/>
        </w:rPr>
      </w:pPr>
      <w:r w:rsidRPr="009F1A9E">
        <w:rPr>
          <w:sz w:val="21"/>
        </w:rPr>
        <w:t xml:space="preserve">The indicator value for the latest reporting year is compared with the indicator value </w:t>
      </w:r>
      <w:r w:rsidR="0054298F">
        <w:rPr>
          <w:sz w:val="21"/>
        </w:rPr>
        <w:t xml:space="preserve">reported </w:t>
      </w:r>
      <w:r w:rsidRPr="009F1A9E">
        <w:rPr>
          <w:sz w:val="21"/>
        </w:rPr>
        <w:t xml:space="preserve">for </w:t>
      </w:r>
      <w:r w:rsidR="009300F9">
        <w:rPr>
          <w:sz w:val="21"/>
        </w:rPr>
        <w:t>2015</w:t>
      </w:r>
      <w:r w:rsidRPr="009F1A9E">
        <w:rPr>
          <w:sz w:val="21"/>
        </w:rPr>
        <w:t>.</w:t>
      </w:r>
    </w:p>
    <w:p w14:paraId="60424C1A" w14:textId="288CCC76" w:rsidR="007A7EFD" w:rsidRPr="009F1A9E" w:rsidRDefault="007A7EFD" w:rsidP="007A7EFD">
      <w:pPr>
        <w:rPr>
          <w:sz w:val="21"/>
        </w:rPr>
      </w:pPr>
      <w:r w:rsidRPr="009F1A9E">
        <w:rPr>
          <w:sz w:val="21"/>
        </w:rPr>
        <w:t>The ratio (r) between the current indicator value and the</w:t>
      </w:r>
      <w:r w:rsidR="0054298F" w:rsidRPr="0054298F">
        <w:t xml:space="preserve"> </w:t>
      </w:r>
      <w:r w:rsidR="0054298F" w:rsidRPr="0054298F">
        <w:rPr>
          <w:sz w:val="21"/>
        </w:rPr>
        <w:t xml:space="preserve">value reported for </w:t>
      </w:r>
      <w:r w:rsidR="009300F9">
        <w:rPr>
          <w:sz w:val="21"/>
        </w:rPr>
        <w:t>2015</w:t>
      </w:r>
      <w:r w:rsidRPr="009F1A9E">
        <w:rPr>
          <w:sz w:val="21"/>
        </w:rPr>
        <w:t xml:space="preserve"> is calculated; r&gt;1 means an increase in stock per hectare, r&lt;1 means a decrease</w:t>
      </w:r>
      <w:r w:rsidR="004162BD">
        <w:rPr>
          <w:sz w:val="21"/>
        </w:rPr>
        <w:t>,</w:t>
      </w:r>
      <w:r w:rsidRPr="009F1A9E">
        <w:rPr>
          <w:sz w:val="21"/>
        </w:rPr>
        <w:t xml:space="preserve"> while 1 indicates no change. A narrow interval for r </w:t>
      </w:r>
      <w:r w:rsidR="00B70B75">
        <w:rPr>
          <w:sz w:val="21"/>
        </w:rPr>
        <w:t xml:space="preserve">close to 1 </w:t>
      </w:r>
      <w:r w:rsidRPr="009F1A9E">
        <w:rPr>
          <w:sz w:val="21"/>
        </w:rPr>
        <w:t>has been established</w:t>
      </w:r>
      <w:r w:rsidR="00D3075C">
        <w:rPr>
          <w:sz w:val="21"/>
        </w:rPr>
        <w:t>,</w:t>
      </w:r>
      <w:r w:rsidRPr="009F1A9E">
        <w:rPr>
          <w:sz w:val="21"/>
        </w:rPr>
        <w:t xml:space="preserve"> to indicate a stable condition, and traffic-light </w:t>
      </w:r>
      <w:proofErr w:type="spellStart"/>
      <w:r w:rsidRPr="009F1A9E">
        <w:rPr>
          <w:sz w:val="21"/>
        </w:rPr>
        <w:t>colors</w:t>
      </w:r>
      <w:proofErr w:type="spellEnd"/>
      <w:r w:rsidRPr="009F1A9E">
        <w:rPr>
          <w:sz w:val="21"/>
        </w:rPr>
        <w:t xml:space="preserve"> are assigned as follows:</w:t>
      </w:r>
    </w:p>
    <w:p w14:paraId="6A6E73EF" w14:textId="3C8C8F6D"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0" behindDoc="0" locked="0" layoutInCell="1" allowOverlap="1" wp14:anchorId="48B6D04D" wp14:editId="2861F370">
                <wp:simplePos x="0" y="0"/>
                <wp:positionH relativeFrom="column">
                  <wp:posOffset>1706880</wp:posOffset>
                </wp:positionH>
                <wp:positionV relativeFrom="paragraph">
                  <wp:posOffset>5715</wp:posOffset>
                </wp:positionV>
                <wp:extent cx="163830" cy="156845"/>
                <wp:effectExtent l="0" t="0" r="26670" b="1460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93D123"/>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7ACB55" id="Flowchart: Connector 48" o:spid="_x0000_s1026" type="#_x0000_t120" style="position:absolute;margin-left:134.4pt;margin-top:.45pt;width:12.9pt;height:1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" fillcolor="#93d123" strokecolor="#41719c" strokeweight="1pt">
                <v:stroke joinstyle="miter"/>
                <v:path arrowok="t"/>
              </v:shape>
            </w:pict>
          </mc:Fallback>
        </mc:AlternateContent>
      </w:r>
      <w:r w:rsidRPr="009F1A9E">
        <w:rPr>
          <w:sz w:val="21"/>
        </w:rPr>
        <w:tab/>
        <w:t xml:space="preserve">r ≥ 1.01 </w:t>
      </w:r>
      <w:r w:rsidRPr="009F1A9E">
        <w:rPr>
          <w:sz w:val="21"/>
        </w:rPr>
        <w:tab/>
      </w:r>
    </w:p>
    <w:p w14:paraId="2A6286A5" w14:textId="0354732C"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1" behindDoc="0" locked="0" layoutInCell="1" allowOverlap="1" wp14:anchorId="50C4E4E1" wp14:editId="2C8D79BC">
                <wp:simplePos x="0" y="0"/>
                <wp:positionH relativeFrom="column">
                  <wp:posOffset>1706880</wp:posOffset>
                </wp:positionH>
                <wp:positionV relativeFrom="paragraph">
                  <wp:posOffset>18415</wp:posOffset>
                </wp:positionV>
                <wp:extent cx="163830" cy="156845"/>
                <wp:effectExtent l="0" t="0" r="26670" b="1460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3B0129F" id="Flowchart: Connector 47" o:spid="_x0000_s1026" type="#_x0000_t120" style="position:absolute;margin-left:134.4pt;margin-top:1.45pt;width:12.9pt;height:12.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yfA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" fillcolor="yellow" strokecolor="#41719c" strokeweight="1pt">
                <v:stroke joinstyle="miter"/>
                <v:path arrowok="t"/>
              </v:shape>
            </w:pict>
          </mc:Fallback>
        </mc:AlternateContent>
      </w:r>
      <w:r w:rsidRPr="009F1A9E">
        <w:rPr>
          <w:sz w:val="21"/>
        </w:rPr>
        <w:tab/>
        <w:t>0.99 &lt; r &lt; 1.01</w:t>
      </w:r>
    </w:p>
    <w:p w14:paraId="20D43438" w14:textId="51E29978"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2" behindDoc="0" locked="0" layoutInCell="1" allowOverlap="1" wp14:anchorId="4A83EDA6" wp14:editId="4240D6AA">
                <wp:simplePos x="0" y="0"/>
                <wp:positionH relativeFrom="column">
                  <wp:posOffset>1706880</wp:posOffset>
                </wp:positionH>
                <wp:positionV relativeFrom="paragraph">
                  <wp:posOffset>31115</wp:posOffset>
                </wp:positionV>
                <wp:extent cx="163830" cy="156845"/>
                <wp:effectExtent l="0" t="0" r="26670" b="1460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ECED2E5" id="Flowchart: Connector 46" o:spid="_x0000_s1026" type="#_x0000_t120" style="position:absolute;margin-left:134.4pt;margin-top:2.45pt;width:12.9pt;height:12.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KGeg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" fillcolor="red" strokecolor="#41719c" strokeweight="1pt">
                <v:stroke joinstyle="miter"/>
                <v:path arrowok="t"/>
              </v:shape>
            </w:pict>
          </mc:Fallback>
        </mc:AlternateContent>
      </w:r>
      <w:r w:rsidRPr="009F1A9E">
        <w:rPr>
          <w:sz w:val="21"/>
        </w:rPr>
        <w:tab/>
        <w:t>r ≤ 0.99</w:t>
      </w:r>
    </w:p>
    <w:p w14:paraId="07E41EBD" w14:textId="77777777" w:rsidR="007A7EFD" w:rsidRPr="009F1A9E" w:rsidRDefault="007A7EFD" w:rsidP="007A7EFD">
      <w:pPr>
        <w:rPr>
          <w:sz w:val="21"/>
        </w:rPr>
      </w:pPr>
    </w:p>
    <w:p w14:paraId="557BFCB2" w14:textId="7BE15BAA" w:rsidR="007A7EFD" w:rsidRPr="009F1A9E" w:rsidRDefault="007A7EFD" w:rsidP="001B04F6">
      <w:pPr>
        <w:keepNext/>
        <w:rPr>
          <w:b/>
          <w:sz w:val="21"/>
        </w:rPr>
      </w:pPr>
      <w:r w:rsidRPr="009F1A9E">
        <w:rPr>
          <w:b/>
          <w:sz w:val="21"/>
        </w:rPr>
        <w:t>Sub-indicator 3 – Proportion of forest area within legally established protected areas.</w:t>
      </w:r>
    </w:p>
    <w:p w14:paraId="109A0FCF" w14:textId="77777777" w:rsidR="007A7EFD" w:rsidRPr="009F1A9E" w:rsidRDefault="007A7EFD" w:rsidP="001B04F6">
      <w:pPr>
        <w:keepNext/>
        <w:rPr>
          <w:sz w:val="21"/>
        </w:rPr>
      </w:pPr>
      <w:r w:rsidRPr="009F1A9E">
        <w:rPr>
          <w:sz w:val="21"/>
          <w:u w:val="single"/>
        </w:rPr>
        <w:t>Unit</w:t>
      </w:r>
      <w:r w:rsidRPr="009F1A9E">
        <w:rPr>
          <w:sz w:val="21"/>
        </w:rPr>
        <w:t>: Percent</w:t>
      </w:r>
    </w:p>
    <w:p w14:paraId="015D3532" w14:textId="77777777" w:rsidR="007A7EFD" w:rsidRPr="009F1A9E" w:rsidRDefault="007A7EFD" w:rsidP="001B04F6">
      <w:pPr>
        <w:keepNext/>
        <w:rPr>
          <w:sz w:val="21"/>
        </w:rPr>
      </w:pPr>
      <w:r w:rsidRPr="009F1A9E">
        <w:rPr>
          <w:sz w:val="21"/>
          <w:u w:val="single"/>
        </w:rPr>
        <w:t>Reference year:</w:t>
      </w:r>
      <w:r w:rsidRPr="009F1A9E">
        <w:rPr>
          <w:sz w:val="21"/>
        </w:rPr>
        <w:t xml:space="preserve"> Latest reporting year</w:t>
      </w:r>
    </w:p>
    <w:p w14:paraId="6FCE6D18" w14:textId="378EB3B3" w:rsidR="007A7EFD" w:rsidRDefault="007A7EFD" w:rsidP="1A6352C6">
      <w:pPr>
        <w:keepNext/>
        <w:rPr>
          <w:sz w:val="21"/>
          <w:szCs w:val="21"/>
        </w:rPr>
      </w:pPr>
      <w:r w:rsidRPr="1A6352C6">
        <w:rPr>
          <w:sz w:val="21"/>
          <w:szCs w:val="21"/>
          <w:u w:val="single"/>
        </w:rPr>
        <w:t>Method of estimation:</w:t>
      </w:r>
      <w:r w:rsidRPr="1A6352C6">
        <w:rPr>
          <w:sz w:val="21"/>
          <w:szCs w:val="21"/>
        </w:rPr>
        <w:t xml:space="preserve"> </w:t>
      </w:r>
    </w:p>
    <w:p w14:paraId="569045A4" w14:textId="7A8071C1" w:rsidR="009115A9" w:rsidRPr="00A742CF" w:rsidRDefault="009124DD" w:rsidP="001B04F6">
      <w:pPr>
        <w:keepNext/>
        <w:ind w:left="1276"/>
        <w:rPr>
          <w:lang w:val="en-US"/>
        </w:rPr>
      </w:pPr>
      <m:oMathPara>
        <m:oMathParaPr>
          <m:jc m:val="left"/>
        </m:oMathParaPr>
        <m:oMath>
          <m:r>
            <w:rPr>
              <w:rFonts w:ascii="Cambria Math" w:hAnsi="Cambria Math"/>
            </w:rPr>
            <m:t xml:space="preserve">r= </m:t>
          </m:r>
          <m:f>
            <m:fPr>
              <m:ctrlPr>
                <w:rPr>
                  <w:rFonts w:ascii="Cambria Math" w:hAnsi="Cambria Math"/>
                  <w:i/>
                </w:rPr>
              </m:ctrlPr>
            </m:fPr>
            <m:num>
              <m:sSub>
                <m:sSubPr>
                  <m:ctrlPr>
                    <w:rPr>
                      <w:rFonts w:ascii="Cambria Math" w:hAnsi="Cambria Math"/>
                      <w:i/>
                    </w:rPr>
                  </m:ctrlPr>
                </m:sSubPr>
                <m:e>
                  <m:r>
                    <w:rPr>
                      <w:rFonts w:ascii="Cambria Math" w:hAnsi="Cambria Math"/>
                    </w:rPr>
                    <m:t>AFP</m:t>
                  </m:r>
                </m:e>
                <m:sub>
                  <m:d>
                    <m:dPr>
                      <m:begChr m:val="["/>
                      <m:endChr m:val="]"/>
                      <m:ctrlPr>
                        <w:rPr>
                          <w:rFonts w:ascii="Cambria Math" w:hAnsi="Cambria Math"/>
                          <w:i/>
                        </w:rPr>
                      </m:ctrlPr>
                    </m:dPr>
                    <m:e>
                      <m:r>
                        <w:rPr>
                          <w:rFonts w:ascii="Cambria Math" w:hAnsi="Cambria Math"/>
                        </w:rPr>
                        <m:t>reference year</m:t>
                      </m:r>
                    </m:e>
                  </m:d>
                </m:sub>
              </m:sSub>
            </m:num>
            <m:den>
              <m:sSub>
                <m:sSubPr>
                  <m:ctrlPr>
                    <w:rPr>
                      <w:rFonts w:ascii="Cambria Math" w:hAnsi="Cambria Math"/>
                      <w:i/>
                    </w:rPr>
                  </m:ctrlPr>
                </m:sSubPr>
                <m:e>
                  <m:r>
                    <w:rPr>
                      <w:rFonts w:ascii="Cambria Math" w:hAnsi="Cambria Math"/>
                    </w:rPr>
                    <m:t>AF</m:t>
                  </m:r>
                </m:e>
                <m:sub>
                  <m:r>
                    <w:rPr>
                      <w:rFonts w:ascii="Cambria Math" w:hAnsi="Cambria Math"/>
                    </w:rPr>
                    <m:t>2015</m:t>
                  </m:r>
                </m:sub>
              </m:sSub>
            </m:den>
          </m:f>
          <m:r>
            <w:rPr>
              <w:rFonts w:ascii="Cambria Math" w:hAnsi="Cambria Math"/>
            </w:rPr>
            <m:t>×100</m:t>
          </m:r>
        </m:oMath>
      </m:oMathPara>
    </w:p>
    <w:p w14:paraId="43EEC519" w14:textId="286CE1D5" w:rsidR="009115A9" w:rsidRDefault="009115A9" w:rsidP="001B04F6">
      <w:pPr>
        <w:keepNext/>
        <w:ind w:left="1276"/>
        <w:rPr>
          <w:sz w:val="21"/>
        </w:rPr>
      </w:pPr>
      <w:r>
        <w:rPr>
          <w:sz w:val="21"/>
        </w:rPr>
        <w:t>Where</w:t>
      </w:r>
      <w:r w:rsidR="004E6D67">
        <w:rPr>
          <w:sz w:val="21"/>
        </w:rPr>
        <w:t>:</w:t>
      </w:r>
    </w:p>
    <w:p w14:paraId="3D75E2D7" w14:textId="62A0C8A4" w:rsidR="009115A9" w:rsidRDefault="009115A9" w:rsidP="005B696F">
      <w:pPr>
        <w:spacing w:after="0"/>
        <w:ind w:left="1701"/>
        <w:rPr>
          <w:sz w:val="21"/>
        </w:rPr>
      </w:pPr>
      <w:r w:rsidRPr="005B696F">
        <w:rPr>
          <w:rFonts w:asciiTheme="majorHAnsi" w:hAnsiTheme="majorHAnsi"/>
          <w:i/>
          <w:iCs/>
          <w:sz w:val="21"/>
        </w:rPr>
        <w:t>A</w:t>
      </w:r>
      <w:r w:rsidR="00CE78DB">
        <w:rPr>
          <w:rFonts w:asciiTheme="majorHAnsi" w:hAnsiTheme="majorHAnsi"/>
          <w:i/>
          <w:iCs/>
          <w:sz w:val="21"/>
        </w:rPr>
        <w:t>F</w:t>
      </w:r>
      <w:r w:rsidRPr="005B696F">
        <w:rPr>
          <w:rFonts w:asciiTheme="majorHAnsi" w:hAnsiTheme="majorHAnsi"/>
          <w:i/>
          <w:iCs/>
          <w:sz w:val="21"/>
        </w:rPr>
        <w:t>P</w:t>
      </w:r>
      <w:r>
        <w:rPr>
          <w:sz w:val="21"/>
        </w:rPr>
        <w:t xml:space="preserve"> = Forest area within legally established protected areas</w:t>
      </w:r>
    </w:p>
    <w:p w14:paraId="79ABBFD1" w14:textId="470884B1" w:rsidR="009115A9" w:rsidRDefault="009115A9" w:rsidP="005B696F">
      <w:pPr>
        <w:spacing w:after="0"/>
        <w:ind w:left="1701"/>
        <w:rPr>
          <w:sz w:val="21"/>
        </w:rPr>
      </w:pPr>
      <w:r w:rsidRPr="005B696F">
        <w:rPr>
          <w:rFonts w:asciiTheme="majorHAnsi" w:hAnsiTheme="majorHAnsi"/>
          <w:i/>
          <w:iCs/>
          <w:sz w:val="21"/>
        </w:rPr>
        <w:t>AF</w:t>
      </w:r>
      <w:r>
        <w:rPr>
          <w:sz w:val="21"/>
        </w:rPr>
        <w:t xml:space="preserve"> = </w:t>
      </w:r>
      <w:proofErr w:type="gramStart"/>
      <w:r w:rsidR="004E6D67">
        <w:rPr>
          <w:sz w:val="21"/>
        </w:rPr>
        <w:t>Total forest</w:t>
      </w:r>
      <w:proofErr w:type="gramEnd"/>
      <w:r>
        <w:rPr>
          <w:sz w:val="21"/>
        </w:rPr>
        <w:t xml:space="preserve"> area</w:t>
      </w:r>
    </w:p>
    <w:p w14:paraId="0D5EB99A" w14:textId="77777777" w:rsidR="009115A9" w:rsidRPr="009F1A9E" w:rsidRDefault="009115A9" w:rsidP="001B04F6">
      <w:pPr>
        <w:spacing w:after="0"/>
        <w:rPr>
          <w:sz w:val="21"/>
        </w:rPr>
      </w:pPr>
    </w:p>
    <w:p w14:paraId="5D3C18D2" w14:textId="77777777" w:rsidR="007A7EFD" w:rsidRPr="009F1A9E" w:rsidRDefault="007A7EFD" w:rsidP="005B696F">
      <w:pPr>
        <w:keepNext/>
        <w:rPr>
          <w:sz w:val="21"/>
          <w:u w:val="single"/>
        </w:rPr>
      </w:pPr>
      <w:r w:rsidRPr="009F1A9E">
        <w:rPr>
          <w:sz w:val="21"/>
          <w:u w:val="single"/>
        </w:rPr>
        <w:t>Translation to dashboard/traffic light:</w:t>
      </w:r>
    </w:p>
    <w:p w14:paraId="65911344" w14:textId="66C8A685" w:rsidR="007A7EFD" w:rsidRPr="009F1A9E" w:rsidRDefault="007A7EFD" w:rsidP="007A7EFD">
      <w:pPr>
        <w:rPr>
          <w:sz w:val="21"/>
        </w:rPr>
      </w:pPr>
      <w:r w:rsidRPr="009F1A9E">
        <w:rPr>
          <w:sz w:val="21"/>
        </w:rPr>
        <w:t xml:space="preserve">The indicator value for </w:t>
      </w:r>
      <w:r w:rsidR="0077119E">
        <w:rPr>
          <w:sz w:val="21"/>
        </w:rPr>
        <w:t xml:space="preserve">the </w:t>
      </w:r>
      <w:r w:rsidRPr="009F1A9E">
        <w:rPr>
          <w:sz w:val="21"/>
        </w:rPr>
        <w:t xml:space="preserve">latest reporting year is compared </w:t>
      </w:r>
      <w:r w:rsidR="0054298F">
        <w:rPr>
          <w:sz w:val="21"/>
        </w:rPr>
        <w:t xml:space="preserve">with </w:t>
      </w:r>
      <w:r w:rsidRPr="009F1A9E">
        <w:rPr>
          <w:sz w:val="21"/>
        </w:rPr>
        <w:t xml:space="preserve">the indicator value </w:t>
      </w:r>
      <w:r w:rsidR="0054298F">
        <w:rPr>
          <w:sz w:val="21"/>
        </w:rPr>
        <w:t xml:space="preserve">reported </w:t>
      </w:r>
      <w:r w:rsidRPr="009F1A9E">
        <w:rPr>
          <w:sz w:val="21"/>
        </w:rPr>
        <w:t>for</w:t>
      </w:r>
      <w:r w:rsidR="0054298F">
        <w:rPr>
          <w:sz w:val="21"/>
        </w:rPr>
        <w:t xml:space="preserve"> </w:t>
      </w:r>
      <w:r w:rsidR="001675E2">
        <w:rPr>
          <w:sz w:val="21"/>
        </w:rPr>
        <w:t>2015</w:t>
      </w:r>
      <w:r w:rsidRPr="009F1A9E">
        <w:rPr>
          <w:sz w:val="21"/>
        </w:rPr>
        <w:t>.</w:t>
      </w:r>
    </w:p>
    <w:p w14:paraId="099D15E3" w14:textId="3AA92B49" w:rsidR="007A7EFD" w:rsidRPr="009F1A9E" w:rsidRDefault="007A7EFD" w:rsidP="007A7EFD">
      <w:pPr>
        <w:rPr>
          <w:sz w:val="21"/>
        </w:rPr>
      </w:pPr>
      <w:r w:rsidRPr="009F1A9E">
        <w:rPr>
          <w:sz w:val="21"/>
        </w:rPr>
        <w:lastRenderedPageBreak/>
        <w:t xml:space="preserve">The ratio (r) between the current indicator value and the </w:t>
      </w:r>
      <w:r w:rsidR="0054298F">
        <w:rPr>
          <w:sz w:val="21"/>
        </w:rPr>
        <w:t>value</w:t>
      </w:r>
      <w:r w:rsidR="0054298F" w:rsidRPr="009F1A9E">
        <w:rPr>
          <w:sz w:val="21"/>
        </w:rPr>
        <w:t xml:space="preserve"> </w:t>
      </w:r>
      <w:r w:rsidRPr="009F1A9E">
        <w:rPr>
          <w:sz w:val="21"/>
        </w:rPr>
        <w:t xml:space="preserve">reported </w:t>
      </w:r>
      <w:r w:rsidR="0054298F">
        <w:rPr>
          <w:sz w:val="21"/>
        </w:rPr>
        <w:t xml:space="preserve">for </w:t>
      </w:r>
      <w:r w:rsidR="001675E2">
        <w:rPr>
          <w:sz w:val="21"/>
        </w:rPr>
        <w:t>2015</w:t>
      </w:r>
      <w:r w:rsidR="001675E2" w:rsidRPr="009F1A9E">
        <w:rPr>
          <w:sz w:val="21"/>
        </w:rPr>
        <w:t xml:space="preserve"> </w:t>
      </w:r>
      <w:r w:rsidRPr="009F1A9E">
        <w:rPr>
          <w:sz w:val="21"/>
        </w:rPr>
        <w:t>is calculated; r&gt;1 means an increase in forest area within protected areas, r&lt;1 means a decrease</w:t>
      </w:r>
      <w:r w:rsidR="00531B75">
        <w:rPr>
          <w:sz w:val="21"/>
        </w:rPr>
        <w:t>,</w:t>
      </w:r>
      <w:r w:rsidRPr="009F1A9E">
        <w:rPr>
          <w:sz w:val="21"/>
        </w:rPr>
        <w:t xml:space="preserve"> while 1 indicates no change. A narrow interval for r </w:t>
      </w:r>
      <w:r w:rsidR="004437F3">
        <w:rPr>
          <w:sz w:val="21"/>
        </w:rPr>
        <w:t xml:space="preserve">close to 1 </w:t>
      </w:r>
      <w:r w:rsidRPr="009F1A9E">
        <w:rPr>
          <w:sz w:val="21"/>
        </w:rPr>
        <w:t>has been established</w:t>
      </w:r>
      <w:r w:rsidR="00D3075C">
        <w:rPr>
          <w:sz w:val="21"/>
        </w:rPr>
        <w:t>,</w:t>
      </w:r>
      <w:r w:rsidRPr="009F1A9E">
        <w:rPr>
          <w:sz w:val="21"/>
        </w:rPr>
        <w:t xml:space="preserve"> to indicate a stable condition, and traffic-light </w:t>
      </w:r>
      <w:proofErr w:type="spellStart"/>
      <w:r w:rsidRPr="009F1A9E">
        <w:rPr>
          <w:sz w:val="21"/>
        </w:rPr>
        <w:t>colors</w:t>
      </w:r>
      <w:proofErr w:type="spellEnd"/>
      <w:r w:rsidRPr="009F1A9E">
        <w:rPr>
          <w:sz w:val="21"/>
        </w:rPr>
        <w:t xml:space="preserve"> are assigned as follows:</w:t>
      </w:r>
    </w:p>
    <w:p w14:paraId="6A5D5471" w14:textId="06EE69BD"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3" behindDoc="0" locked="0" layoutInCell="1" allowOverlap="1" wp14:anchorId="4C781E09" wp14:editId="372516C9">
                <wp:simplePos x="0" y="0"/>
                <wp:positionH relativeFrom="column">
                  <wp:posOffset>1706880</wp:posOffset>
                </wp:positionH>
                <wp:positionV relativeFrom="paragraph">
                  <wp:posOffset>5715</wp:posOffset>
                </wp:positionV>
                <wp:extent cx="163830" cy="156845"/>
                <wp:effectExtent l="0" t="0" r="26670" b="14605"/>
                <wp:wrapNone/>
                <wp:docPr id="45" name="Flowchart: Connector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93D123"/>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A88769" id="Flowchart: Connector 45" o:spid="_x0000_s1026" type="#_x0000_t120" style="position:absolute;margin-left:134.4pt;margin-top:.45pt;width:12.9pt;height:12.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" fillcolor="#93d123" strokecolor="#41719c" strokeweight="1pt">
                <v:stroke joinstyle="miter"/>
                <v:path arrowok="t"/>
              </v:shape>
            </w:pict>
          </mc:Fallback>
        </mc:AlternateContent>
      </w:r>
      <w:r w:rsidRPr="009F1A9E">
        <w:rPr>
          <w:sz w:val="21"/>
        </w:rPr>
        <w:tab/>
        <w:t xml:space="preserve">r ≥ 1.01 </w:t>
      </w:r>
      <w:r w:rsidRPr="009F1A9E">
        <w:rPr>
          <w:sz w:val="21"/>
        </w:rPr>
        <w:tab/>
      </w:r>
    </w:p>
    <w:p w14:paraId="197D6EFC" w14:textId="6D6A57A7"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4" behindDoc="0" locked="0" layoutInCell="1" allowOverlap="1" wp14:anchorId="24E7FCDB" wp14:editId="72DC1D3F">
                <wp:simplePos x="0" y="0"/>
                <wp:positionH relativeFrom="column">
                  <wp:posOffset>1706880</wp:posOffset>
                </wp:positionH>
                <wp:positionV relativeFrom="paragraph">
                  <wp:posOffset>18415</wp:posOffset>
                </wp:positionV>
                <wp:extent cx="163830" cy="156845"/>
                <wp:effectExtent l="0" t="0" r="26670" b="14605"/>
                <wp:wrapNone/>
                <wp:docPr id="41" name="Flowchart: Connector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A2717B" id="Flowchart: Connector 41" o:spid="_x0000_s1026" type="#_x0000_t120" style="position:absolute;margin-left:134.4pt;margin-top:1.45pt;width:12.9pt;height:12.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yfA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" fillcolor="yellow" strokecolor="#41719c" strokeweight="1pt">
                <v:stroke joinstyle="miter"/>
                <v:path arrowok="t"/>
              </v:shape>
            </w:pict>
          </mc:Fallback>
        </mc:AlternateContent>
      </w:r>
      <w:r w:rsidRPr="009F1A9E">
        <w:rPr>
          <w:sz w:val="21"/>
        </w:rPr>
        <w:tab/>
        <w:t>0.99 &lt; r &lt; 1.01</w:t>
      </w:r>
    </w:p>
    <w:p w14:paraId="7C177DA7" w14:textId="4CB130EA"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5" behindDoc="0" locked="0" layoutInCell="1" allowOverlap="1" wp14:anchorId="015AE2DE" wp14:editId="16BDFE32">
                <wp:simplePos x="0" y="0"/>
                <wp:positionH relativeFrom="column">
                  <wp:posOffset>1706880</wp:posOffset>
                </wp:positionH>
                <wp:positionV relativeFrom="paragraph">
                  <wp:posOffset>31115</wp:posOffset>
                </wp:positionV>
                <wp:extent cx="163830" cy="156845"/>
                <wp:effectExtent l="0" t="0" r="26670" b="14605"/>
                <wp:wrapNone/>
                <wp:docPr id="40" name="Flowchart: Connector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77A388" id="Flowchart: Connector 40" o:spid="_x0000_s1026" type="#_x0000_t120" style="position:absolute;margin-left:134.4pt;margin-top:2.45pt;width:12.9pt;height:12.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KGeg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" fillcolor="red" strokecolor="#41719c" strokeweight="1pt">
                <v:stroke joinstyle="miter"/>
                <v:path arrowok="t"/>
              </v:shape>
            </w:pict>
          </mc:Fallback>
        </mc:AlternateContent>
      </w:r>
      <w:r w:rsidRPr="009F1A9E">
        <w:rPr>
          <w:sz w:val="21"/>
        </w:rPr>
        <w:tab/>
        <w:t>r ≤ 0.99</w:t>
      </w:r>
    </w:p>
    <w:p w14:paraId="2C3C7425" w14:textId="77777777" w:rsidR="007A7EFD" w:rsidRPr="009F1A9E" w:rsidRDefault="007A7EFD" w:rsidP="001B04F6">
      <w:pPr>
        <w:spacing w:after="0"/>
        <w:rPr>
          <w:sz w:val="21"/>
          <w:u w:val="single"/>
        </w:rPr>
      </w:pPr>
    </w:p>
    <w:p w14:paraId="26406850" w14:textId="77777777" w:rsidR="007A7EFD" w:rsidRPr="009F1A9E" w:rsidRDefault="007A7EFD" w:rsidP="007A7EFD">
      <w:pPr>
        <w:rPr>
          <w:sz w:val="21"/>
          <w:u w:val="single"/>
        </w:rPr>
      </w:pPr>
      <w:r w:rsidRPr="009F1A9E">
        <w:rPr>
          <w:sz w:val="21"/>
          <w:u w:val="single"/>
        </w:rPr>
        <w:t>Comment:</w:t>
      </w:r>
    </w:p>
    <w:p w14:paraId="0FEE99BC" w14:textId="20A2F182" w:rsidR="007A7EFD" w:rsidRPr="009F1A9E" w:rsidRDefault="007A7EFD" w:rsidP="007A7EFD">
      <w:pPr>
        <w:rPr>
          <w:sz w:val="21"/>
        </w:rPr>
      </w:pPr>
      <w:r w:rsidRPr="009F1A9E">
        <w:rPr>
          <w:sz w:val="21"/>
        </w:rPr>
        <w:t>Using forest area in 2015 as</w:t>
      </w:r>
      <w:r w:rsidR="003F68C9">
        <w:rPr>
          <w:sz w:val="21"/>
        </w:rPr>
        <w:t xml:space="preserve"> the</w:t>
      </w:r>
      <w:r w:rsidRPr="009F1A9E">
        <w:rPr>
          <w:sz w:val="21"/>
        </w:rPr>
        <w:t xml:space="preserve"> denominator for estimating this indicator ensures that the time series of percentages reflect</w:t>
      </w:r>
      <w:r w:rsidR="00CF25D3">
        <w:rPr>
          <w:sz w:val="21"/>
        </w:rPr>
        <w:t>s</w:t>
      </w:r>
      <w:r w:rsidRPr="009F1A9E">
        <w:rPr>
          <w:sz w:val="21"/>
        </w:rPr>
        <w:t xml:space="preserve"> real changes in the forest area within legally established protected areas and is not affected by changes (losses or gains) in total forest area. </w:t>
      </w:r>
    </w:p>
    <w:p w14:paraId="4F8C7E83" w14:textId="77777777" w:rsidR="007A7EFD" w:rsidRDefault="007A7EFD" w:rsidP="001B04F6">
      <w:pPr>
        <w:spacing w:after="0"/>
        <w:rPr>
          <w:rFonts w:eastAsia="Calibri" w:cstheme="minorHAnsi"/>
          <w:b/>
          <w:sz w:val="21"/>
          <w:szCs w:val="21"/>
        </w:rPr>
      </w:pPr>
    </w:p>
    <w:p w14:paraId="5BDE50CA" w14:textId="16DBCB54" w:rsidR="007A7EFD" w:rsidRPr="009F1A9E" w:rsidRDefault="007A7EFD" w:rsidP="001B04F6">
      <w:pPr>
        <w:keepNext/>
        <w:rPr>
          <w:b/>
          <w:sz w:val="21"/>
        </w:rPr>
      </w:pPr>
      <w:r w:rsidRPr="009F1A9E">
        <w:rPr>
          <w:b/>
          <w:sz w:val="21"/>
        </w:rPr>
        <w:t>Sub-indicator 4 – Proportion of forest area under a long-term management plan.</w:t>
      </w:r>
    </w:p>
    <w:p w14:paraId="7ACE301E" w14:textId="77777777" w:rsidR="007A7EFD" w:rsidRPr="009F1A9E" w:rsidRDefault="007A7EFD" w:rsidP="001B04F6">
      <w:pPr>
        <w:keepNext/>
        <w:rPr>
          <w:sz w:val="21"/>
        </w:rPr>
      </w:pPr>
      <w:r w:rsidRPr="009F1A9E">
        <w:rPr>
          <w:sz w:val="21"/>
          <w:u w:val="single"/>
        </w:rPr>
        <w:t>Unit</w:t>
      </w:r>
      <w:r w:rsidRPr="009F1A9E">
        <w:rPr>
          <w:sz w:val="21"/>
        </w:rPr>
        <w:t>: Percent</w:t>
      </w:r>
    </w:p>
    <w:p w14:paraId="5318EDD3" w14:textId="77777777" w:rsidR="007A7EFD" w:rsidRPr="009F1A9E" w:rsidRDefault="007A7EFD" w:rsidP="001B04F6">
      <w:pPr>
        <w:keepNext/>
        <w:rPr>
          <w:sz w:val="21"/>
        </w:rPr>
      </w:pPr>
      <w:r w:rsidRPr="009F1A9E">
        <w:rPr>
          <w:sz w:val="21"/>
          <w:u w:val="single"/>
        </w:rPr>
        <w:t>Reference year:</w:t>
      </w:r>
      <w:r w:rsidRPr="009F1A9E">
        <w:rPr>
          <w:sz w:val="21"/>
        </w:rPr>
        <w:t xml:space="preserve"> Latest reporting year</w:t>
      </w:r>
    </w:p>
    <w:p w14:paraId="7E68AC76" w14:textId="058D08AE" w:rsidR="007A7EFD" w:rsidRDefault="007A7EFD" w:rsidP="001B04F6">
      <w:pPr>
        <w:keepNext/>
        <w:rPr>
          <w:sz w:val="21"/>
        </w:rPr>
      </w:pPr>
      <w:r w:rsidRPr="009F1A9E">
        <w:rPr>
          <w:sz w:val="21"/>
          <w:u w:val="single"/>
        </w:rPr>
        <w:t>Method of estimation:</w:t>
      </w:r>
      <w:r w:rsidRPr="009F1A9E">
        <w:rPr>
          <w:sz w:val="21"/>
        </w:rPr>
        <w:t xml:space="preserve"> </w:t>
      </w:r>
    </w:p>
    <w:p w14:paraId="3733EF86" w14:textId="6EC9E665" w:rsidR="00CE78DB" w:rsidRPr="00A742CF" w:rsidRDefault="009124DD" w:rsidP="001B04F6">
      <w:pPr>
        <w:keepNext/>
        <w:ind w:left="1276"/>
        <w:rPr>
          <w:lang w:val="en-US"/>
        </w:rPr>
      </w:pPr>
      <m:oMathPara>
        <m:oMathParaPr>
          <m:jc m:val="left"/>
        </m:oMathParaPr>
        <m:oMath>
          <m:r>
            <w:rPr>
              <w:rFonts w:ascii="Cambria Math" w:hAnsi="Cambria Math"/>
            </w:rPr>
            <m:t xml:space="preserve">r= </m:t>
          </m:r>
          <m:f>
            <m:fPr>
              <m:ctrlPr>
                <w:rPr>
                  <w:rFonts w:ascii="Cambria Math" w:hAnsi="Cambria Math"/>
                  <w:i/>
                </w:rPr>
              </m:ctrlPr>
            </m:fPr>
            <m:num>
              <m:sSub>
                <m:sSubPr>
                  <m:ctrlPr>
                    <w:rPr>
                      <w:rFonts w:ascii="Cambria Math" w:hAnsi="Cambria Math"/>
                      <w:i/>
                    </w:rPr>
                  </m:ctrlPr>
                </m:sSubPr>
                <m:e>
                  <m:r>
                    <w:rPr>
                      <w:rFonts w:ascii="Cambria Math" w:hAnsi="Cambria Math"/>
                    </w:rPr>
                    <m:t>AFMP</m:t>
                  </m:r>
                </m:e>
                <m:sub>
                  <m:d>
                    <m:dPr>
                      <m:begChr m:val="["/>
                      <m:endChr m:val="]"/>
                      <m:ctrlPr>
                        <w:rPr>
                          <w:rFonts w:ascii="Cambria Math" w:hAnsi="Cambria Math"/>
                          <w:i/>
                        </w:rPr>
                      </m:ctrlPr>
                    </m:dPr>
                    <m:e>
                      <m:r>
                        <w:rPr>
                          <w:rFonts w:ascii="Cambria Math" w:hAnsi="Cambria Math"/>
                        </w:rPr>
                        <m:t>reference year</m:t>
                      </m:r>
                    </m:e>
                  </m:d>
                </m:sub>
              </m:sSub>
            </m:num>
            <m:den>
              <m:sSub>
                <m:sSubPr>
                  <m:ctrlPr>
                    <w:rPr>
                      <w:rFonts w:ascii="Cambria Math" w:hAnsi="Cambria Math"/>
                      <w:i/>
                    </w:rPr>
                  </m:ctrlPr>
                </m:sSubPr>
                <m:e>
                  <m:r>
                    <w:rPr>
                      <w:rFonts w:ascii="Cambria Math" w:hAnsi="Cambria Math"/>
                    </w:rPr>
                    <m:t>AF</m:t>
                  </m:r>
                </m:e>
                <m:sub>
                  <m:r>
                    <w:rPr>
                      <w:rFonts w:ascii="Cambria Math" w:hAnsi="Cambria Math"/>
                    </w:rPr>
                    <m:t>2015</m:t>
                  </m:r>
                </m:sub>
              </m:sSub>
            </m:den>
          </m:f>
          <m:r>
            <w:rPr>
              <w:rFonts w:ascii="Cambria Math" w:hAnsi="Cambria Math"/>
            </w:rPr>
            <m:t>×100</m:t>
          </m:r>
        </m:oMath>
      </m:oMathPara>
    </w:p>
    <w:p w14:paraId="5E78B348" w14:textId="77777777" w:rsidR="00CE78DB" w:rsidRDefault="00CE78DB" w:rsidP="001B04F6">
      <w:pPr>
        <w:keepNext/>
        <w:ind w:left="1276"/>
        <w:rPr>
          <w:sz w:val="21"/>
        </w:rPr>
      </w:pPr>
      <w:r>
        <w:rPr>
          <w:sz w:val="21"/>
        </w:rPr>
        <w:t>Where:</w:t>
      </w:r>
    </w:p>
    <w:p w14:paraId="5782B58F" w14:textId="7BC4C26A" w:rsidR="00CE78DB" w:rsidRDefault="00CE78DB" w:rsidP="00CE78DB">
      <w:pPr>
        <w:spacing w:after="0"/>
        <w:ind w:left="1701"/>
        <w:rPr>
          <w:sz w:val="21"/>
        </w:rPr>
      </w:pPr>
      <w:r w:rsidRPr="00777BFD">
        <w:rPr>
          <w:rFonts w:asciiTheme="majorHAnsi" w:hAnsiTheme="majorHAnsi"/>
          <w:i/>
          <w:iCs/>
          <w:sz w:val="21"/>
        </w:rPr>
        <w:t>A</w:t>
      </w:r>
      <w:r>
        <w:rPr>
          <w:rFonts w:asciiTheme="majorHAnsi" w:hAnsiTheme="majorHAnsi"/>
          <w:i/>
          <w:iCs/>
          <w:sz w:val="21"/>
        </w:rPr>
        <w:t>FM</w:t>
      </w:r>
      <w:r w:rsidRPr="00777BFD">
        <w:rPr>
          <w:rFonts w:asciiTheme="majorHAnsi" w:hAnsiTheme="majorHAnsi"/>
          <w:i/>
          <w:iCs/>
          <w:sz w:val="21"/>
        </w:rPr>
        <w:t>P</w:t>
      </w:r>
      <w:r>
        <w:rPr>
          <w:sz w:val="21"/>
        </w:rPr>
        <w:t xml:space="preserve"> = Forest area </w:t>
      </w:r>
      <w:r w:rsidRPr="00CE78DB">
        <w:rPr>
          <w:sz w:val="21"/>
        </w:rPr>
        <w:t>under a long-term management plan</w:t>
      </w:r>
    </w:p>
    <w:p w14:paraId="4C7C1813" w14:textId="77777777" w:rsidR="00CE78DB" w:rsidRDefault="00CE78DB" w:rsidP="00CE78DB">
      <w:pPr>
        <w:spacing w:after="0"/>
        <w:ind w:left="1701"/>
        <w:rPr>
          <w:sz w:val="21"/>
        </w:rPr>
      </w:pPr>
      <w:r w:rsidRPr="00777BFD">
        <w:rPr>
          <w:rFonts w:asciiTheme="majorHAnsi" w:hAnsiTheme="majorHAnsi"/>
          <w:i/>
          <w:iCs/>
          <w:sz w:val="21"/>
        </w:rPr>
        <w:t>AF</w:t>
      </w:r>
      <w:r>
        <w:rPr>
          <w:sz w:val="21"/>
        </w:rPr>
        <w:t xml:space="preserve"> = </w:t>
      </w:r>
      <w:proofErr w:type="gramStart"/>
      <w:r>
        <w:rPr>
          <w:sz w:val="21"/>
        </w:rPr>
        <w:t>Total forest</w:t>
      </w:r>
      <w:proofErr w:type="gramEnd"/>
      <w:r>
        <w:rPr>
          <w:sz w:val="21"/>
        </w:rPr>
        <w:t xml:space="preserve"> area</w:t>
      </w:r>
    </w:p>
    <w:p w14:paraId="389052A6" w14:textId="77777777" w:rsidR="00CE78DB" w:rsidRPr="009F1A9E" w:rsidRDefault="00CE78DB" w:rsidP="001B04F6">
      <w:pPr>
        <w:spacing w:after="0"/>
        <w:rPr>
          <w:sz w:val="21"/>
        </w:rPr>
      </w:pPr>
    </w:p>
    <w:p w14:paraId="10AD31E4" w14:textId="2617BABB" w:rsidR="007A7EFD" w:rsidRPr="009F1A9E" w:rsidRDefault="007A7EFD" w:rsidP="007A7EFD">
      <w:pPr>
        <w:rPr>
          <w:sz w:val="21"/>
        </w:rPr>
      </w:pPr>
      <w:r w:rsidRPr="009F1A9E">
        <w:rPr>
          <w:sz w:val="21"/>
          <w:u w:val="single"/>
        </w:rPr>
        <w:t xml:space="preserve">Translation to dashboard/traffic light: </w:t>
      </w:r>
      <w:r w:rsidRPr="009F1A9E">
        <w:rPr>
          <w:sz w:val="21"/>
        </w:rPr>
        <w:t xml:space="preserve">The indicator value for </w:t>
      </w:r>
      <w:r w:rsidR="00F60B88">
        <w:rPr>
          <w:sz w:val="21"/>
        </w:rPr>
        <w:t xml:space="preserve">the </w:t>
      </w:r>
      <w:r w:rsidRPr="009F1A9E">
        <w:rPr>
          <w:sz w:val="21"/>
        </w:rPr>
        <w:t xml:space="preserve">latest reporting year is compared with the indicator value </w:t>
      </w:r>
      <w:r w:rsidR="0054298F">
        <w:rPr>
          <w:sz w:val="21"/>
        </w:rPr>
        <w:t xml:space="preserve">reported for </w:t>
      </w:r>
      <w:r w:rsidR="001675E2">
        <w:rPr>
          <w:sz w:val="21"/>
        </w:rPr>
        <w:t>2015</w:t>
      </w:r>
      <w:r w:rsidRPr="009F1A9E">
        <w:rPr>
          <w:sz w:val="21"/>
        </w:rPr>
        <w:t>.</w:t>
      </w:r>
    </w:p>
    <w:p w14:paraId="5F5FB797" w14:textId="77635BBE" w:rsidR="007A7EFD" w:rsidRPr="009F1A9E" w:rsidRDefault="007A7EFD" w:rsidP="007A7EFD">
      <w:pPr>
        <w:rPr>
          <w:sz w:val="21"/>
        </w:rPr>
      </w:pPr>
      <w:r w:rsidRPr="009F1A9E">
        <w:rPr>
          <w:sz w:val="21"/>
        </w:rPr>
        <w:t>The ratio (r) between the current indicator value and the value</w:t>
      </w:r>
      <w:r w:rsidR="0054298F">
        <w:rPr>
          <w:sz w:val="21"/>
        </w:rPr>
        <w:t xml:space="preserve"> reported for </w:t>
      </w:r>
      <w:r w:rsidR="005C5A56">
        <w:rPr>
          <w:sz w:val="21"/>
        </w:rPr>
        <w:t>2015</w:t>
      </w:r>
      <w:r w:rsidR="005C5A56" w:rsidRPr="009F1A9E">
        <w:rPr>
          <w:sz w:val="21"/>
        </w:rPr>
        <w:t xml:space="preserve"> </w:t>
      </w:r>
      <w:r w:rsidRPr="009F1A9E">
        <w:rPr>
          <w:sz w:val="21"/>
        </w:rPr>
        <w:t xml:space="preserve">is calculated; r&gt;1 means an increase in areas </w:t>
      </w:r>
      <w:r w:rsidRPr="00047AE6">
        <w:rPr>
          <w:sz w:val="21"/>
        </w:rPr>
        <w:t>under management</w:t>
      </w:r>
      <w:r w:rsidRPr="009F1A9E">
        <w:rPr>
          <w:sz w:val="21"/>
        </w:rPr>
        <w:t xml:space="preserve"> plan, r&lt;1 means a decrease</w:t>
      </w:r>
      <w:r w:rsidR="006B1752">
        <w:rPr>
          <w:sz w:val="21"/>
        </w:rPr>
        <w:t>,</w:t>
      </w:r>
      <w:r w:rsidRPr="009F1A9E">
        <w:rPr>
          <w:sz w:val="21"/>
        </w:rPr>
        <w:t xml:space="preserve"> while 1 indicates no change. A narrow interval for r </w:t>
      </w:r>
      <w:r w:rsidR="00D3075C">
        <w:rPr>
          <w:sz w:val="21"/>
        </w:rPr>
        <w:t xml:space="preserve">close to 1 </w:t>
      </w:r>
      <w:r w:rsidRPr="009F1A9E">
        <w:rPr>
          <w:sz w:val="21"/>
        </w:rPr>
        <w:t>has been established</w:t>
      </w:r>
      <w:r w:rsidR="00D3075C">
        <w:rPr>
          <w:sz w:val="21"/>
        </w:rPr>
        <w:t>,</w:t>
      </w:r>
      <w:r w:rsidRPr="009F1A9E">
        <w:rPr>
          <w:sz w:val="21"/>
        </w:rPr>
        <w:t xml:space="preserve"> to indicate a stable condition, and traffic-light </w:t>
      </w:r>
      <w:proofErr w:type="spellStart"/>
      <w:r w:rsidRPr="009F1A9E">
        <w:rPr>
          <w:sz w:val="21"/>
        </w:rPr>
        <w:t>colors</w:t>
      </w:r>
      <w:proofErr w:type="spellEnd"/>
      <w:r w:rsidRPr="009F1A9E">
        <w:rPr>
          <w:sz w:val="21"/>
        </w:rPr>
        <w:t xml:space="preserve"> are assigned as follows:</w:t>
      </w:r>
    </w:p>
    <w:p w14:paraId="76130BCC" w14:textId="39C370A0"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6" behindDoc="0" locked="0" layoutInCell="1" allowOverlap="1" wp14:anchorId="11CD89B4" wp14:editId="15286C96">
                <wp:simplePos x="0" y="0"/>
                <wp:positionH relativeFrom="column">
                  <wp:posOffset>1706880</wp:posOffset>
                </wp:positionH>
                <wp:positionV relativeFrom="paragraph">
                  <wp:posOffset>5715</wp:posOffset>
                </wp:positionV>
                <wp:extent cx="163830" cy="156845"/>
                <wp:effectExtent l="0" t="0" r="26670" b="14605"/>
                <wp:wrapNone/>
                <wp:docPr id="39" name="Flowchart: Connector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93D123"/>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A8839C" id="Flowchart: Connector 39" o:spid="_x0000_s1026" type="#_x0000_t120" style="position:absolute;margin-left:134.4pt;margin-top:.45pt;width:12.9pt;height:12.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" fillcolor="#93d123" strokecolor="#41719c" strokeweight="1pt">
                <v:stroke joinstyle="miter"/>
                <v:path arrowok="t"/>
              </v:shape>
            </w:pict>
          </mc:Fallback>
        </mc:AlternateContent>
      </w:r>
      <w:r w:rsidRPr="009F1A9E">
        <w:rPr>
          <w:sz w:val="21"/>
        </w:rPr>
        <w:tab/>
        <w:t xml:space="preserve">r ≥ 1.01 </w:t>
      </w:r>
      <w:r w:rsidRPr="009F1A9E">
        <w:rPr>
          <w:sz w:val="21"/>
        </w:rPr>
        <w:tab/>
      </w:r>
    </w:p>
    <w:p w14:paraId="53B8792F" w14:textId="3B684087"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7" behindDoc="0" locked="0" layoutInCell="1" allowOverlap="1" wp14:anchorId="4ADA7C70" wp14:editId="3AE4B0E3">
                <wp:simplePos x="0" y="0"/>
                <wp:positionH relativeFrom="column">
                  <wp:posOffset>1706880</wp:posOffset>
                </wp:positionH>
                <wp:positionV relativeFrom="paragraph">
                  <wp:posOffset>18415</wp:posOffset>
                </wp:positionV>
                <wp:extent cx="163830" cy="156845"/>
                <wp:effectExtent l="0" t="0" r="26670" b="14605"/>
                <wp:wrapNone/>
                <wp:docPr id="38" name="Flowchart: Connector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13228B" id="Flowchart: Connector 38" o:spid="_x0000_s1026" type="#_x0000_t120" style="position:absolute;margin-left:134.4pt;margin-top:1.45pt;width:12.9pt;height:12.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yfA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" fillcolor="yellow" strokecolor="#41719c" strokeweight="1pt">
                <v:stroke joinstyle="miter"/>
                <v:path arrowok="t"/>
              </v:shape>
            </w:pict>
          </mc:Fallback>
        </mc:AlternateContent>
      </w:r>
      <w:r w:rsidRPr="009F1A9E">
        <w:rPr>
          <w:sz w:val="21"/>
        </w:rPr>
        <w:tab/>
        <w:t>0.99 &lt; r &lt; 1.01</w:t>
      </w:r>
    </w:p>
    <w:p w14:paraId="670DE573" w14:textId="36647026"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8" behindDoc="0" locked="0" layoutInCell="1" allowOverlap="1" wp14:anchorId="7262CEAD" wp14:editId="539FB75C">
                <wp:simplePos x="0" y="0"/>
                <wp:positionH relativeFrom="column">
                  <wp:posOffset>1706880</wp:posOffset>
                </wp:positionH>
                <wp:positionV relativeFrom="paragraph">
                  <wp:posOffset>31115</wp:posOffset>
                </wp:positionV>
                <wp:extent cx="163830" cy="156845"/>
                <wp:effectExtent l="0" t="0" r="26670" b="14605"/>
                <wp:wrapNone/>
                <wp:docPr id="37" name="Flowchart: Connector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AEF015" id="Flowchart: Connector 37" o:spid="_x0000_s1026" type="#_x0000_t120" style="position:absolute;margin-left:134.4pt;margin-top:2.45pt;width:12.9pt;height:12.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KGeg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" fillcolor="red" strokecolor="#41719c" strokeweight="1pt">
                <v:stroke joinstyle="miter"/>
                <v:path arrowok="t"/>
              </v:shape>
            </w:pict>
          </mc:Fallback>
        </mc:AlternateContent>
      </w:r>
      <w:r w:rsidRPr="009F1A9E">
        <w:rPr>
          <w:sz w:val="21"/>
        </w:rPr>
        <w:tab/>
        <w:t>r ≤ 0.99</w:t>
      </w:r>
    </w:p>
    <w:p w14:paraId="1B2863C4" w14:textId="77777777" w:rsidR="007A7EFD" w:rsidRPr="009F1A9E" w:rsidRDefault="007A7EFD" w:rsidP="005B696F">
      <w:pPr>
        <w:keepNext/>
        <w:spacing w:before="240"/>
        <w:rPr>
          <w:sz w:val="21"/>
          <w:u w:val="single"/>
        </w:rPr>
      </w:pPr>
      <w:r w:rsidRPr="009F1A9E">
        <w:rPr>
          <w:sz w:val="21"/>
          <w:u w:val="single"/>
        </w:rPr>
        <w:t>Comment:</w:t>
      </w:r>
    </w:p>
    <w:p w14:paraId="77881AC2" w14:textId="2B7ED615" w:rsidR="007A7EFD" w:rsidRPr="009F1A9E" w:rsidRDefault="007A7EFD" w:rsidP="007A7EFD">
      <w:pPr>
        <w:rPr>
          <w:sz w:val="21"/>
        </w:rPr>
      </w:pPr>
      <w:r w:rsidRPr="009F1A9E">
        <w:rPr>
          <w:sz w:val="21"/>
        </w:rPr>
        <w:t>Using forest area in 2015 as</w:t>
      </w:r>
      <w:r w:rsidR="003F68C9">
        <w:rPr>
          <w:sz w:val="21"/>
        </w:rPr>
        <w:t xml:space="preserve"> the</w:t>
      </w:r>
      <w:r w:rsidRPr="009F1A9E">
        <w:rPr>
          <w:sz w:val="21"/>
        </w:rPr>
        <w:t xml:space="preserve"> denominator for estimating this indicator ensures that the time series of percentages reflect</w:t>
      </w:r>
      <w:r w:rsidR="00CF25D3">
        <w:rPr>
          <w:sz w:val="21"/>
        </w:rPr>
        <w:t>s</w:t>
      </w:r>
      <w:r w:rsidRPr="009F1A9E">
        <w:rPr>
          <w:sz w:val="21"/>
        </w:rPr>
        <w:t xml:space="preserve"> real changes in the forest area </w:t>
      </w:r>
      <w:r w:rsidRPr="00047AE6">
        <w:rPr>
          <w:sz w:val="21"/>
        </w:rPr>
        <w:t>under management</w:t>
      </w:r>
      <w:r w:rsidRPr="009F1A9E">
        <w:rPr>
          <w:sz w:val="21"/>
        </w:rPr>
        <w:t xml:space="preserve"> plan and is not affected by changes (losses or gains) in total forest area. </w:t>
      </w:r>
    </w:p>
    <w:p w14:paraId="3B778C66" w14:textId="77777777" w:rsidR="007A7EFD" w:rsidRPr="009F1A9E" w:rsidRDefault="007A7EFD" w:rsidP="001B04F6">
      <w:pPr>
        <w:spacing w:after="0"/>
        <w:rPr>
          <w:sz w:val="21"/>
        </w:rPr>
      </w:pPr>
    </w:p>
    <w:p w14:paraId="7451EBB6" w14:textId="77777777" w:rsidR="007A7EFD" w:rsidRPr="009F1A9E" w:rsidRDefault="007A7EFD" w:rsidP="007A7EFD">
      <w:pPr>
        <w:rPr>
          <w:b/>
          <w:sz w:val="21"/>
        </w:rPr>
      </w:pPr>
      <w:r w:rsidRPr="009F1A9E">
        <w:rPr>
          <w:b/>
          <w:sz w:val="21"/>
        </w:rPr>
        <w:lastRenderedPageBreak/>
        <w:t>Sub-indicator 5 – Forest area under an independently verified forest management certification scheme.</w:t>
      </w:r>
    </w:p>
    <w:p w14:paraId="05CC89F9" w14:textId="77777777" w:rsidR="007A7EFD" w:rsidRPr="009F1A9E" w:rsidRDefault="007A7EFD" w:rsidP="007A7EFD">
      <w:pPr>
        <w:rPr>
          <w:sz w:val="21"/>
        </w:rPr>
      </w:pPr>
      <w:r w:rsidRPr="009F1A9E">
        <w:rPr>
          <w:sz w:val="21"/>
          <w:u w:val="single"/>
        </w:rPr>
        <w:t>Unit</w:t>
      </w:r>
      <w:r w:rsidRPr="009F1A9E">
        <w:rPr>
          <w:sz w:val="21"/>
        </w:rPr>
        <w:t>: Thousand hectares</w:t>
      </w:r>
    </w:p>
    <w:p w14:paraId="12D5DBD1" w14:textId="77777777" w:rsidR="007A7EFD" w:rsidRPr="009F1A9E" w:rsidRDefault="007A7EFD" w:rsidP="007A7EFD">
      <w:pPr>
        <w:rPr>
          <w:sz w:val="21"/>
        </w:rPr>
      </w:pPr>
      <w:r w:rsidRPr="009F1A9E">
        <w:rPr>
          <w:sz w:val="21"/>
          <w:u w:val="single"/>
        </w:rPr>
        <w:t>Reference year:</w:t>
      </w:r>
      <w:r w:rsidRPr="009F1A9E">
        <w:rPr>
          <w:sz w:val="21"/>
        </w:rPr>
        <w:t xml:space="preserve"> Latest reporting year (as of June 30)</w:t>
      </w:r>
    </w:p>
    <w:p w14:paraId="315EA9E8" w14:textId="3BE7B959" w:rsidR="007A7EFD" w:rsidRPr="009F1A9E" w:rsidRDefault="007A7EFD" w:rsidP="007A7EFD">
      <w:pPr>
        <w:rPr>
          <w:sz w:val="21"/>
        </w:rPr>
      </w:pPr>
      <w:r w:rsidRPr="009F1A9E">
        <w:rPr>
          <w:sz w:val="21"/>
          <w:u w:val="single"/>
        </w:rPr>
        <w:t>Method of estimation:</w:t>
      </w:r>
      <w:r w:rsidRPr="009F1A9E">
        <w:rPr>
          <w:sz w:val="21"/>
        </w:rPr>
        <w:t xml:space="preserve"> Data </w:t>
      </w:r>
      <w:r w:rsidR="00CF25D3">
        <w:rPr>
          <w:sz w:val="21"/>
        </w:rPr>
        <w:t>are</w:t>
      </w:r>
      <w:r w:rsidRPr="009F1A9E">
        <w:rPr>
          <w:sz w:val="21"/>
        </w:rPr>
        <w:t xml:space="preserve"> collected directly from the databases of each certification scheme and</w:t>
      </w:r>
      <w:r w:rsidR="007302AD">
        <w:rPr>
          <w:sz w:val="21"/>
        </w:rPr>
        <w:t xml:space="preserve"> are</w:t>
      </w:r>
      <w:r w:rsidRPr="009F1A9E">
        <w:rPr>
          <w:sz w:val="21"/>
        </w:rPr>
        <w:t xml:space="preserve"> provided to countries for validation.</w:t>
      </w:r>
    </w:p>
    <w:p w14:paraId="17A8FFFA" w14:textId="43BE5D61" w:rsidR="007A7EFD" w:rsidRPr="009F1A9E" w:rsidRDefault="007A7EFD" w:rsidP="007A7EFD">
      <w:pPr>
        <w:rPr>
          <w:sz w:val="21"/>
        </w:rPr>
      </w:pPr>
      <w:r w:rsidRPr="009F1A9E">
        <w:rPr>
          <w:sz w:val="21"/>
          <w:u w:val="single"/>
        </w:rPr>
        <w:t xml:space="preserve">Translation to dashboard/traffic light: </w:t>
      </w:r>
      <w:r w:rsidRPr="009F1A9E">
        <w:rPr>
          <w:sz w:val="21"/>
        </w:rPr>
        <w:t xml:space="preserve">The indicator value </w:t>
      </w:r>
      <w:r w:rsidRPr="00CE78DB">
        <w:rPr>
          <w:sz w:val="21"/>
        </w:rPr>
        <w:t xml:space="preserve">for </w:t>
      </w:r>
      <w:r w:rsidR="00F60B88">
        <w:rPr>
          <w:sz w:val="21"/>
        </w:rPr>
        <w:t xml:space="preserve">the </w:t>
      </w:r>
      <w:r w:rsidRPr="005B696F">
        <w:rPr>
          <w:sz w:val="21"/>
        </w:rPr>
        <w:t xml:space="preserve">latest reporting year is compared with the indicator value for </w:t>
      </w:r>
      <w:r w:rsidR="007302AD">
        <w:rPr>
          <w:sz w:val="21"/>
        </w:rPr>
        <w:t xml:space="preserve">the </w:t>
      </w:r>
      <w:r w:rsidRPr="005B696F">
        <w:rPr>
          <w:sz w:val="21"/>
        </w:rPr>
        <w:t>previous reporting year</w:t>
      </w:r>
      <w:r w:rsidR="007302AD">
        <w:rPr>
          <w:sz w:val="21"/>
        </w:rPr>
        <w:t>,</w:t>
      </w:r>
      <w:r w:rsidRPr="009F1A9E">
        <w:rPr>
          <w:sz w:val="21"/>
        </w:rPr>
        <w:t xml:space="preserve"> </w:t>
      </w:r>
      <w:r w:rsidR="00920EAE">
        <w:rPr>
          <w:sz w:val="21"/>
        </w:rPr>
        <w:t>to</w:t>
      </w:r>
      <w:r w:rsidR="00920EAE" w:rsidRPr="009F1A9E">
        <w:rPr>
          <w:sz w:val="21"/>
        </w:rPr>
        <w:t xml:space="preserve"> assess</w:t>
      </w:r>
      <w:r w:rsidR="007302AD">
        <w:rPr>
          <w:sz w:val="21"/>
        </w:rPr>
        <w:t xml:space="preserve"> </w:t>
      </w:r>
      <w:r w:rsidR="00920EAE">
        <w:rPr>
          <w:sz w:val="21"/>
        </w:rPr>
        <w:t>for</w:t>
      </w:r>
      <w:r w:rsidRPr="009F1A9E">
        <w:rPr>
          <w:sz w:val="21"/>
        </w:rPr>
        <w:t xml:space="preserve"> continuity of progress since</w:t>
      </w:r>
      <w:r w:rsidR="007302AD">
        <w:rPr>
          <w:sz w:val="21"/>
        </w:rPr>
        <w:t xml:space="preserve"> the</w:t>
      </w:r>
      <w:r w:rsidRPr="009F1A9E">
        <w:rPr>
          <w:sz w:val="21"/>
        </w:rPr>
        <w:t xml:space="preserve"> last report.</w:t>
      </w:r>
    </w:p>
    <w:p w14:paraId="4970D35D" w14:textId="5C3E6ADB" w:rsidR="007A7EFD" w:rsidRPr="009F1A9E" w:rsidRDefault="007A7EFD" w:rsidP="007A7EFD">
      <w:pPr>
        <w:rPr>
          <w:sz w:val="21"/>
        </w:rPr>
      </w:pPr>
      <w:r w:rsidRPr="009F1A9E">
        <w:rPr>
          <w:sz w:val="21"/>
        </w:rPr>
        <w:t>The ratio (r) between the current indicator value and the previously reported value is calculated; r&gt;1 means an increase in areas under an independent forest management certification scheme, r&lt;1 means a decrease</w:t>
      </w:r>
      <w:r w:rsidR="00920EAE">
        <w:rPr>
          <w:sz w:val="21"/>
        </w:rPr>
        <w:t>,</w:t>
      </w:r>
      <w:r w:rsidRPr="009F1A9E">
        <w:rPr>
          <w:sz w:val="21"/>
        </w:rPr>
        <w:t xml:space="preserve"> while 1 indicates no change. A small interval for r </w:t>
      </w:r>
      <w:r w:rsidR="00920EAE">
        <w:rPr>
          <w:sz w:val="21"/>
        </w:rPr>
        <w:t xml:space="preserve">close to 1 </w:t>
      </w:r>
      <w:r w:rsidRPr="009F1A9E">
        <w:rPr>
          <w:sz w:val="21"/>
        </w:rPr>
        <w:t>has been established</w:t>
      </w:r>
      <w:r w:rsidR="00920EAE">
        <w:rPr>
          <w:sz w:val="21"/>
        </w:rPr>
        <w:t>,</w:t>
      </w:r>
      <w:r w:rsidRPr="009F1A9E">
        <w:rPr>
          <w:sz w:val="21"/>
        </w:rPr>
        <w:t xml:space="preserve"> to indicate a stable condition, and traffic-light </w:t>
      </w:r>
      <w:proofErr w:type="spellStart"/>
      <w:r w:rsidRPr="009F1A9E">
        <w:rPr>
          <w:sz w:val="21"/>
        </w:rPr>
        <w:t>colors</w:t>
      </w:r>
      <w:proofErr w:type="spellEnd"/>
      <w:r w:rsidRPr="009F1A9E">
        <w:rPr>
          <w:sz w:val="21"/>
        </w:rPr>
        <w:t xml:space="preserve"> are assigned as follows:</w:t>
      </w:r>
    </w:p>
    <w:p w14:paraId="086983CF" w14:textId="7911281A"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49" behindDoc="0" locked="0" layoutInCell="1" allowOverlap="1" wp14:anchorId="314A2FA5" wp14:editId="0612A403">
                <wp:simplePos x="0" y="0"/>
                <wp:positionH relativeFrom="column">
                  <wp:posOffset>1706880</wp:posOffset>
                </wp:positionH>
                <wp:positionV relativeFrom="paragraph">
                  <wp:posOffset>5715</wp:posOffset>
                </wp:positionV>
                <wp:extent cx="163830" cy="156845"/>
                <wp:effectExtent l="0" t="0" r="26670" b="14605"/>
                <wp:wrapNone/>
                <wp:docPr id="36" name="Flowchart: Connector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93D123"/>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463150" id="Flowchart: Connector 36" o:spid="_x0000_s1026" type="#_x0000_t120" style="position:absolute;margin-left:134.4pt;margin-top:.45pt;width:12.9pt;height:12.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" fillcolor="#93d123" strokecolor="#41719c" strokeweight="1pt">
                <v:stroke joinstyle="miter"/>
                <v:path arrowok="t"/>
              </v:shape>
            </w:pict>
          </mc:Fallback>
        </mc:AlternateContent>
      </w:r>
      <w:r w:rsidRPr="009F1A9E">
        <w:rPr>
          <w:sz w:val="21"/>
        </w:rPr>
        <w:tab/>
        <w:t xml:space="preserve">r ≥ 1.01 </w:t>
      </w:r>
      <w:r w:rsidRPr="009F1A9E">
        <w:rPr>
          <w:sz w:val="21"/>
        </w:rPr>
        <w:tab/>
      </w:r>
    </w:p>
    <w:p w14:paraId="52F25AB0" w14:textId="3C4250F4"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50" behindDoc="0" locked="0" layoutInCell="1" allowOverlap="1" wp14:anchorId="142ABD1E" wp14:editId="46A5D9F3">
                <wp:simplePos x="0" y="0"/>
                <wp:positionH relativeFrom="column">
                  <wp:posOffset>1706880</wp:posOffset>
                </wp:positionH>
                <wp:positionV relativeFrom="paragraph">
                  <wp:posOffset>18415</wp:posOffset>
                </wp:positionV>
                <wp:extent cx="163830" cy="156845"/>
                <wp:effectExtent l="0" t="0" r="26670" b="14605"/>
                <wp:wrapNone/>
                <wp:docPr id="35" name="Flowchart: Connector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36E31A9" id="Flowchart: Connector 35" o:spid="_x0000_s1026" type="#_x0000_t120" style="position:absolute;margin-left:134.4pt;margin-top:1.45pt;width:12.9pt;height:12.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yfA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" fillcolor="yellow" strokecolor="#41719c" strokeweight="1pt">
                <v:stroke joinstyle="miter"/>
                <v:path arrowok="t"/>
              </v:shape>
            </w:pict>
          </mc:Fallback>
        </mc:AlternateContent>
      </w:r>
      <w:r w:rsidRPr="009F1A9E">
        <w:rPr>
          <w:sz w:val="21"/>
        </w:rPr>
        <w:tab/>
        <w:t>0.99 &lt; r &lt; 1.01</w:t>
      </w:r>
    </w:p>
    <w:p w14:paraId="368DFE82" w14:textId="1246E77F" w:rsidR="007A7EFD" w:rsidRPr="009F1A9E" w:rsidRDefault="007A7EFD" w:rsidP="007A7EFD">
      <w:pPr>
        <w:spacing w:after="0"/>
        <w:rPr>
          <w:sz w:val="21"/>
        </w:rPr>
      </w:pPr>
      <w:r w:rsidRPr="009F1A9E">
        <w:rPr>
          <w:noProof/>
          <w:sz w:val="21"/>
          <w:lang w:val="en-US" w:eastAsia="en-US"/>
        </w:rPr>
        <mc:AlternateContent>
          <mc:Choice Requires="wps">
            <w:drawing>
              <wp:anchor distT="0" distB="0" distL="114300" distR="114300" simplePos="0" relativeHeight="251658251" behindDoc="0" locked="0" layoutInCell="1" allowOverlap="1" wp14:anchorId="63A72601" wp14:editId="1E69CF54">
                <wp:simplePos x="0" y="0"/>
                <wp:positionH relativeFrom="column">
                  <wp:posOffset>1706880</wp:posOffset>
                </wp:positionH>
                <wp:positionV relativeFrom="paragraph">
                  <wp:posOffset>31115</wp:posOffset>
                </wp:positionV>
                <wp:extent cx="163830" cy="156845"/>
                <wp:effectExtent l="0" t="0" r="26670" b="14605"/>
                <wp:wrapNone/>
                <wp:docPr id="34" name="Flowchart: Connector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156845"/>
                        </a:xfrm>
                        <a:prstGeom prst="flowChartConnector">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12BC0E" id="Flowchart: Connector 34" o:spid="_x0000_s1026" type="#_x0000_t120" style="position:absolute;margin-left:134.4pt;margin-top:2.45pt;width:12.9pt;height:12.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" fillcolor="red" strokecolor="#41719c" strokeweight="1pt">
                <v:stroke joinstyle="miter"/>
                <v:path arrowok="t"/>
              </v:shape>
            </w:pict>
          </mc:Fallback>
        </mc:AlternateContent>
      </w:r>
      <w:r w:rsidRPr="009F1A9E">
        <w:rPr>
          <w:sz w:val="21"/>
        </w:rPr>
        <w:tab/>
        <w:t>r ≤ 0.99</w:t>
      </w:r>
    </w:p>
    <w:p w14:paraId="0069A2A3" w14:textId="77777777" w:rsidR="007A7EFD" w:rsidRPr="009F1A9E" w:rsidRDefault="007A7EFD" w:rsidP="001B04F6">
      <w:pPr>
        <w:spacing w:after="0"/>
        <w:rPr>
          <w:sz w:val="21"/>
          <w:u w:val="single"/>
        </w:rPr>
      </w:pPr>
    </w:p>
    <w:p w14:paraId="6F90FFC8" w14:textId="77777777" w:rsidR="007A7EFD" w:rsidRPr="009F1A9E" w:rsidRDefault="007A7EFD" w:rsidP="007A7EFD">
      <w:pPr>
        <w:spacing w:before="240"/>
        <w:rPr>
          <w:sz w:val="21"/>
        </w:rPr>
      </w:pPr>
      <w:r w:rsidRPr="009F1A9E">
        <w:rPr>
          <w:sz w:val="21"/>
          <w:u w:val="single"/>
        </w:rPr>
        <w:t>Comments:</w:t>
      </w:r>
    </w:p>
    <w:p w14:paraId="50D0A16E" w14:textId="770133E0" w:rsidR="007A7EFD" w:rsidRPr="00E43CC4" w:rsidRDefault="007A7EFD" w:rsidP="00557826">
      <w:pPr>
        <w:rPr>
          <w:rFonts w:cstheme="minorHAnsi"/>
          <w:color w:val="4A4A4A"/>
        </w:rPr>
      </w:pPr>
      <w:r w:rsidRPr="009F1A9E">
        <w:rPr>
          <w:sz w:val="21"/>
        </w:rPr>
        <w:t>Using June 30 as the date for reporting allows the certification bodies</w:t>
      </w:r>
      <w:r w:rsidR="00511BA1">
        <w:rPr>
          <w:sz w:val="21"/>
        </w:rPr>
        <w:t xml:space="preserve"> to</w:t>
      </w:r>
      <w:r w:rsidRPr="009F1A9E">
        <w:rPr>
          <w:sz w:val="21"/>
        </w:rPr>
        <w:t xml:space="preserve"> </w:t>
      </w:r>
      <w:r w:rsidR="00920EAE">
        <w:rPr>
          <w:sz w:val="21"/>
        </w:rPr>
        <w:t>update</w:t>
      </w:r>
      <w:r w:rsidRPr="009F1A9E">
        <w:rPr>
          <w:sz w:val="21"/>
        </w:rPr>
        <w:t xml:space="preserve"> their databases </w:t>
      </w:r>
      <w:r w:rsidR="00B636CF">
        <w:rPr>
          <w:sz w:val="21"/>
        </w:rPr>
        <w:t>and then</w:t>
      </w:r>
      <w:r w:rsidRPr="009F1A9E">
        <w:rPr>
          <w:sz w:val="21"/>
        </w:rPr>
        <w:t xml:space="preserve"> provide information to FAO by </w:t>
      </w:r>
      <w:r w:rsidR="00920EAE">
        <w:rPr>
          <w:sz w:val="21"/>
        </w:rPr>
        <w:t xml:space="preserve">the </w:t>
      </w:r>
      <w:r w:rsidRPr="009F1A9E">
        <w:rPr>
          <w:sz w:val="21"/>
        </w:rPr>
        <w:t xml:space="preserve">end of the year, </w:t>
      </w:r>
      <w:r w:rsidR="00B636CF">
        <w:rPr>
          <w:sz w:val="21"/>
        </w:rPr>
        <w:t>such that the updated data can</w:t>
      </w:r>
      <w:r w:rsidRPr="009F1A9E">
        <w:rPr>
          <w:sz w:val="21"/>
        </w:rPr>
        <w:t xml:space="preserve"> </w:t>
      </w:r>
      <w:r w:rsidR="00F638F3">
        <w:rPr>
          <w:sz w:val="21"/>
        </w:rPr>
        <w:t xml:space="preserve">be </w:t>
      </w:r>
      <w:r w:rsidRPr="009F1A9E">
        <w:rPr>
          <w:sz w:val="21"/>
        </w:rPr>
        <w:t xml:space="preserve">included in the annual </w:t>
      </w:r>
      <w:r w:rsidR="00B636CF">
        <w:rPr>
          <w:sz w:val="21"/>
        </w:rPr>
        <w:t xml:space="preserve">SDG </w:t>
      </w:r>
      <w:r w:rsidRPr="009F1A9E">
        <w:rPr>
          <w:sz w:val="21"/>
        </w:rPr>
        <w:t>reporting in the beginning of the following year.</w:t>
      </w:r>
    </w:p>
    <w:sectPr w:rsidR="007A7EFD" w:rsidRPr="00E43CC4">
      <w:head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5A2E3" w14:textId="77777777" w:rsidR="00E77E46" w:rsidRDefault="00E77E46" w:rsidP="00573C0B">
      <w:pPr>
        <w:spacing w:after="0" w:line="240" w:lineRule="auto"/>
      </w:pPr>
      <w:r>
        <w:separator/>
      </w:r>
    </w:p>
  </w:endnote>
  <w:endnote w:type="continuationSeparator" w:id="0">
    <w:p w14:paraId="15FED349" w14:textId="77777777" w:rsidR="00E77E46" w:rsidRDefault="00E77E46" w:rsidP="00573C0B">
      <w:pPr>
        <w:spacing w:after="0" w:line="240" w:lineRule="auto"/>
      </w:pPr>
      <w:r>
        <w:continuationSeparator/>
      </w:r>
    </w:p>
  </w:endnote>
  <w:endnote w:type="continuationNotice" w:id="1">
    <w:p w14:paraId="4B260FAB" w14:textId="77777777" w:rsidR="00E77E46" w:rsidRDefault="00E77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4B16" w14:textId="77777777" w:rsidR="00E77E46" w:rsidRDefault="00E77E46" w:rsidP="00573C0B">
      <w:pPr>
        <w:spacing w:after="0" w:line="240" w:lineRule="auto"/>
      </w:pPr>
      <w:r>
        <w:separator/>
      </w:r>
    </w:p>
  </w:footnote>
  <w:footnote w:type="continuationSeparator" w:id="0">
    <w:p w14:paraId="0A0223AD" w14:textId="77777777" w:rsidR="00E77E46" w:rsidRDefault="00E77E46" w:rsidP="00573C0B">
      <w:pPr>
        <w:spacing w:after="0" w:line="240" w:lineRule="auto"/>
      </w:pPr>
      <w:r>
        <w:continuationSeparator/>
      </w:r>
    </w:p>
  </w:footnote>
  <w:footnote w:type="continuationNotice" w:id="1">
    <w:p w14:paraId="4306958E" w14:textId="77777777" w:rsidR="00E77E46" w:rsidRDefault="00E77E46">
      <w:pPr>
        <w:spacing w:after="0" w:line="240" w:lineRule="auto"/>
      </w:pPr>
    </w:p>
  </w:footnote>
  <w:footnote w:id="2">
    <w:p w14:paraId="27100C10" w14:textId="1BCD8A46" w:rsidR="00007DD5" w:rsidRPr="00796BB0" w:rsidRDefault="00007DD5" w:rsidP="00C64236">
      <w:pPr>
        <w:pStyle w:val="FootnoteText"/>
        <w:ind w:left="0"/>
        <w:rPr>
          <w:rFonts w:asciiTheme="minorHAnsi" w:hAnsiTheme="minorHAnsi" w:cstheme="minorHAnsi"/>
          <w:color w:val="4A4A4A"/>
        </w:rPr>
      </w:pPr>
      <w:r w:rsidRPr="00796BB0">
        <w:rPr>
          <w:rStyle w:val="FootnoteReference"/>
          <w:rFonts w:asciiTheme="minorHAnsi" w:hAnsiTheme="minorHAnsi" w:cstheme="minorHAnsi"/>
          <w:color w:val="4A4A4A"/>
        </w:rPr>
        <w:footnoteRef/>
      </w:r>
      <w:r w:rsidRPr="00796BB0">
        <w:rPr>
          <w:rFonts w:asciiTheme="minorHAnsi" w:hAnsiTheme="minorHAnsi" w:cstheme="minorHAnsi"/>
          <w:color w:val="4A4A4A"/>
        </w:rPr>
        <w:t xml:space="preserve"> </w:t>
      </w:r>
      <w:r w:rsidRPr="00C64236">
        <w:rPr>
          <w:rFonts w:asciiTheme="minorHAnsi" w:hAnsiTheme="minorHAnsi" w:cstheme="minorHAnsi"/>
          <w:color w:val="4A4A4A"/>
          <w:sz w:val="18"/>
          <w:szCs w:val="18"/>
        </w:rPr>
        <w:t>If forest area change rate is negative (= forest loss)</w:t>
      </w:r>
      <w:r w:rsidR="00637BA5">
        <w:rPr>
          <w:rFonts w:asciiTheme="minorHAnsi" w:hAnsiTheme="minorHAnsi" w:cstheme="minorHAnsi"/>
          <w:color w:val="4A4A4A"/>
          <w:sz w:val="18"/>
          <w:szCs w:val="18"/>
        </w:rPr>
        <w:t>,</w:t>
      </w:r>
      <w:r w:rsidRPr="00C64236">
        <w:rPr>
          <w:rFonts w:asciiTheme="minorHAnsi" w:hAnsiTheme="minorHAnsi" w:cstheme="minorHAnsi"/>
          <w:color w:val="4A4A4A"/>
          <w:sz w:val="18"/>
          <w:szCs w:val="18"/>
        </w:rPr>
        <w:t xml:space="preserve"> then annual forest area loss rate = </w:t>
      </w:r>
      <w:r w:rsidRPr="00C64236">
        <w:rPr>
          <w:rFonts w:asciiTheme="minorHAnsi" w:hAnsiTheme="minorHAnsi" w:cstheme="minorHAnsi"/>
          <w:b/>
          <w:color w:val="4A4A4A"/>
          <w:sz w:val="18"/>
          <w:szCs w:val="18"/>
        </w:rPr>
        <w:t>-</w:t>
      </w:r>
      <w:r w:rsidRPr="00C64236">
        <w:rPr>
          <w:rFonts w:asciiTheme="minorHAnsi" w:hAnsiTheme="minorHAnsi" w:cstheme="minorHAnsi"/>
          <w:color w:val="4A4A4A"/>
          <w:sz w:val="18"/>
          <w:szCs w:val="18"/>
        </w:rPr>
        <w:t xml:space="preserve"> (annual forest area change rate</w:t>
      </w:r>
      <w:r w:rsidRPr="00796BB0">
        <w:rPr>
          <w:rFonts w:asciiTheme="minorHAnsi" w:hAnsiTheme="minorHAnsi" w:cstheme="minorHAnsi"/>
          <w:color w:val="4A4A4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3EEDBC46" w:rsidR="00007DD5" w:rsidRPr="00757E8A" w:rsidRDefault="00007DD5"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Pr>
        <w:color w:val="404040" w:themeColor="text1" w:themeTint="BF"/>
        <w:sz w:val="18"/>
        <w:szCs w:val="18"/>
      </w:rPr>
      <w:t xml:space="preserve"> </w:t>
    </w:r>
    <w:r w:rsidR="00AA073A">
      <w:rPr>
        <w:color w:val="404040" w:themeColor="text1" w:themeTint="BF"/>
        <w:sz w:val="18"/>
        <w:szCs w:val="18"/>
      </w:rPr>
      <w:t>2026-0</w:t>
    </w:r>
    <w:r w:rsidR="00EA7914">
      <w:rPr>
        <w:color w:val="404040" w:themeColor="text1" w:themeTint="BF"/>
        <w:sz w:val="18"/>
        <w:szCs w:val="18"/>
      </w:rPr>
      <w:t>3</w:t>
    </w:r>
    <w:r w:rsidR="00641108">
      <w:rPr>
        <w:color w:val="404040" w:themeColor="text1" w:themeTint="BF"/>
        <w:sz w:val="18"/>
        <w:szCs w:val="18"/>
      </w:rPr>
      <w:t>-</w:t>
    </w:r>
    <w:r w:rsidR="009434CA">
      <w:rPr>
        <w:color w:val="404040" w:themeColor="text1" w:themeTint="BF"/>
        <w:sz w:val="18"/>
        <w:szCs w:val="18"/>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singleLevel"/>
    <w:tmpl w:val="0000000E"/>
    <w:name w:val="WW8Num13"/>
    <w:lvl w:ilvl="0">
      <w:start w:val="1"/>
      <w:numFmt w:val="decimal"/>
      <w:lvlText w:val="%1."/>
      <w:lvlJc w:val="left"/>
      <w:pPr>
        <w:tabs>
          <w:tab w:val="num" w:pos="360"/>
        </w:tabs>
        <w:ind w:left="360" w:hanging="360"/>
      </w:pPr>
    </w:lvl>
  </w:abstractNum>
  <w:abstractNum w:abstractNumId="1" w15:restartNumberingAfterBreak="0">
    <w:nsid w:val="00000041"/>
    <w:multiLevelType w:val="singleLevel"/>
    <w:tmpl w:val="00000041"/>
    <w:name w:val="WW8Num65"/>
    <w:lvl w:ilvl="0">
      <w:start w:val="1"/>
      <w:numFmt w:val="decimal"/>
      <w:lvlText w:val="%1."/>
      <w:lvlJc w:val="left"/>
      <w:pPr>
        <w:tabs>
          <w:tab w:val="num" w:pos="360"/>
        </w:tabs>
        <w:ind w:left="360" w:hanging="360"/>
      </w:pPr>
    </w:lvl>
  </w:abstractNum>
  <w:abstractNum w:abstractNumId="2" w15:restartNumberingAfterBreak="0">
    <w:nsid w:val="00000042"/>
    <w:multiLevelType w:val="singleLevel"/>
    <w:tmpl w:val="00000042"/>
    <w:lvl w:ilvl="0">
      <w:start w:val="1"/>
      <w:numFmt w:val="decimal"/>
      <w:lvlText w:val="%1."/>
      <w:lvlJc w:val="left"/>
      <w:pPr>
        <w:tabs>
          <w:tab w:val="num" w:pos="360"/>
        </w:tabs>
        <w:ind w:left="360" w:hanging="360"/>
      </w:pPr>
    </w:lvl>
  </w:abstractNum>
  <w:abstractNum w:abstractNumId="3" w15:restartNumberingAfterBreak="0">
    <w:nsid w:val="083C0DEE"/>
    <w:multiLevelType w:val="hybridMultilevel"/>
    <w:tmpl w:val="A120BBD0"/>
    <w:lvl w:ilvl="0" w:tplc="92D693E0">
      <w:start w:val="1"/>
      <w:numFmt w:val="decimal"/>
      <w:lvlText w:val="%1."/>
      <w:lvlJc w:val="left"/>
      <w:pPr>
        <w:ind w:left="360" w:hanging="360"/>
      </w:pPr>
      <w:rPr>
        <w:rFonts w:ascii="Times New Roman" w:hAnsi="Times New Roman" w:cs="Times New Roman" w:hint="default"/>
        <w:sz w:val="19"/>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E6B5F65"/>
    <w:multiLevelType w:val="hybridMultilevel"/>
    <w:tmpl w:val="F07E9F86"/>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4523FAF"/>
    <w:multiLevelType w:val="singleLevel"/>
    <w:tmpl w:val="00000042"/>
    <w:lvl w:ilvl="0">
      <w:start w:val="1"/>
      <w:numFmt w:val="decimal"/>
      <w:lvlText w:val="%1."/>
      <w:lvlJc w:val="left"/>
      <w:pPr>
        <w:tabs>
          <w:tab w:val="num" w:pos="360"/>
        </w:tabs>
        <w:ind w:left="360" w:hanging="360"/>
      </w:pPr>
    </w:lvl>
  </w:abstractNum>
  <w:abstractNum w:abstractNumId="6"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76A1276"/>
    <w:multiLevelType w:val="hybridMultilevel"/>
    <w:tmpl w:val="AA1ECE08"/>
    <w:lvl w:ilvl="0" w:tplc="FFFFFFFF">
      <w:start w:val="1"/>
      <w:numFmt w:val="decimal"/>
      <w:lvlText w:val="%1."/>
      <w:lvlJc w:val="left"/>
      <w:pPr>
        <w:ind w:left="1584" w:hanging="360"/>
      </w:pPr>
      <w:rPr>
        <w:rFonts w:hint="default"/>
        <w:b w:val="0"/>
        <w:bCs w:val="0"/>
        <w:color w:val="auto"/>
        <w:sz w:val="22"/>
        <w:szCs w:val="22"/>
      </w:rPr>
    </w:lvl>
    <w:lvl w:ilvl="1" w:tplc="FFFFFFFF">
      <w:start w:val="1"/>
      <w:numFmt w:val="lowerLetter"/>
      <w:lvlText w:val="(%2)"/>
      <w:lvlJc w:val="left"/>
      <w:pPr>
        <w:ind w:left="2304" w:hanging="360"/>
      </w:pPr>
    </w:lvl>
    <w:lvl w:ilvl="2" w:tplc="FFFFFFFF">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 w15:restartNumberingAfterBreak="0">
    <w:nsid w:val="715171D2"/>
    <w:multiLevelType w:val="hybridMultilevel"/>
    <w:tmpl w:val="006224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671861">
    <w:abstractNumId w:val="8"/>
  </w:num>
  <w:num w:numId="2" w16cid:durableId="1970237991">
    <w:abstractNumId w:val="6"/>
  </w:num>
  <w:num w:numId="3" w16cid:durableId="588657296">
    <w:abstractNumId w:val="12"/>
  </w:num>
  <w:num w:numId="4" w16cid:durableId="391392557">
    <w:abstractNumId w:val="7"/>
  </w:num>
  <w:num w:numId="5" w16cid:durableId="997927385">
    <w:abstractNumId w:val="4"/>
    <w:lvlOverride w:ilvl="0">
      <w:startOverride w:val="1"/>
    </w:lvlOverride>
    <w:lvlOverride w:ilvl="1"/>
    <w:lvlOverride w:ilvl="2"/>
    <w:lvlOverride w:ilvl="3"/>
    <w:lvlOverride w:ilvl="4"/>
    <w:lvlOverride w:ilvl="5"/>
    <w:lvlOverride w:ilvl="6"/>
    <w:lvlOverride w:ilvl="7"/>
    <w:lvlOverride w:ilvl="8"/>
  </w:num>
  <w:num w:numId="6" w16cid:durableId="416024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9012392">
    <w:abstractNumId w:val="11"/>
  </w:num>
  <w:num w:numId="8" w16cid:durableId="313067123">
    <w:abstractNumId w:val="0"/>
  </w:num>
  <w:num w:numId="9" w16cid:durableId="1977098514">
    <w:abstractNumId w:val="1"/>
  </w:num>
  <w:num w:numId="10" w16cid:durableId="1277373229">
    <w:abstractNumId w:val="2"/>
  </w:num>
  <w:num w:numId="11" w16cid:durableId="1491405813">
    <w:abstractNumId w:val="5"/>
  </w:num>
  <w:num w:numId="12" w16cid:durableId="1483153901">
    <w:abstractNumId w:val="0"/>
    <w:lvlOverride w:ilvl="0">
      <w:startOverride w:val="1"/>
    </w:lvlOverride>
  </w:num>
  <w:num w:numId="13" w16cid:durableId="1949658224">
    <w:abstractNumId w:val="1"/>
    <w:lvlOverride w:ilvl="0">
      <w:startOverride w:val="1"/>
    </w:lvlOverride>
  </w:num>
  <w:num w:numId="14" w16cid:durableId="7948368">
    <w:abstractNumId w:val="2"/>
    <w:lvlOverride w:ilvl="0">
      <w:startOverride w:val="1"/>
    </w:lvlOverride>
  </w:num>
  <w:num w:numId="15" w16cid:durableId="313066097">
    <w:abstractNumId w:val="5"/>
    <w:lvlOverride w:ilvl="0">
      <w:startOverride w:val="1"/>
    </w:lvlOverride>
  </w:num>
  <w:num w:numId="16" w16cid:durableId="938220937">
    <w:abstractNumId w:val="9"/>
  </w:num>
  <w:num w:numId="17" w16cid:durableId="1553883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0334"/>
    <w:rsid w:val="000070BA"/>
    <w:rsid w:val="00007D0F"/>
    <w:rsid w:val="00007DD5"/>
    <w:rsid w:val="00010BE7"/>
    <w:rsid w:val="00010C74"/>
    <w:rsid w:val="000173F9"/>
    <w:rsid w:val="000247AC"/>
    <w:rsid w:val="00025B70"/>
    <w:rsid w:val="0002777D"/>
    <w:rsid w:val="000306C2"/>
    <w:rsid w:val="000311B0"/>
    <w:rsid w:val="000357B4"/>
    <w:rsid w:val="000412A0"/>
    <w:rsid w:val="00041760"/>
    <w:rsid w:val="00047AE6"/>
    <w:rsid w:val="00047DDA"/>
    <w:rsid w:val="00051AAE"/>
    <w:rsid w:val="00052E54"/>
    <w:rsid w:val="00052FD6"/>
    <w:rsid w:val="0005455A"/>
    <w:rsid w:val="00054787"/>
    <w:rsid w:val="00057860"/>
    <w:rsid w:val="0005794F"/>
    <w:rsid w:val="00060E24"/>
    <w:rsid w:val="00071F07"/>
    <w:rsid w:val="0007759D"/>
    <w:rsid w:val="000777AB"/>
    <w:rsid w:val="00077F46"/>
    <w:rsid w:val="00083F3A"/>
    <w:rsid w:val="00084F65"/>
    <w:rsid w:val="00087856"/>
    <w:rsid w:val="00087A02"/>
    <w:rsid w:val="00090FB1"/>
    <w:rsid w:val="00091B73"/>
    <w:rsid w:val="00094D09"/>
    <w:rsid w:val="00095D74"/>
    <w:rsid w:val="00096186"/>
    <w:rsid w:val="0009627D"/>
    <w:rsid w:val="00096543"/>
    <w:rsid w:val="000968F2"/>
    <w:rsid w:val="000A18CB"/>
    <w:rsid w:val="000A299C"/>
    <w:rsid w:val="000A3243"/>
    <w:rsid w:val="000A37CE"/>
    <w:rsid w:val="000A58E5"/>
    <w:rsid w:val="000A72E4"/>
    <w:rsid w:val="000B0E2F"/>
    <w:rsid w:val="000B2430"/>
    <w:rsid w:val="000B25BA"/>
    <w:rsid w:val="000B3E06"/>
    <w:rsid w:val="000B77AA"/>
    <w:rsid w:val="000C10C3"/>
    <w:rsid w:val="000C1997"/>
    <w:rsid w:val="000C1A41"/>
    <w:rsid w:val="000C4714"/>
    <w:rsid w:val="000C4ED5"/>
    <w:rsid w:val="000D0B30"/>
    <w:rsid w:val="000D137C"/>
    <w:rsid w:val="000D1F2E"/>
    <w:rsid w:val="000D5189"/>
    <w:rsid w:val="000E21F1"/>
    <w:rsid w:val="000E2992"/>
    <w:rsid w:val="000E42CA"/>
    <w:rsid w:val="000F21DE"/>
    <w:rsid w:val="000F5809"/>
    <w:rsid w:val="000F6BED"/>
    <w:rsid w:val="000F703E"/>
    <w:rsid w:val="001007EF"/>
    <w:rsid w:val="00102CCC"/>
    <w:rsid w:val="00110723"/>
    <w:rsid w:val="00111536"/>
    <w:rsid w:val="00120E86"/>
    <w:rsid w:val="00123E7B"/>
    <w:rsid w:val="00125DE9"/>
    <w:rsid w:val="00126035"/>
    <w:rsid w:val="00130404"/>
    <w:rsid w:val="001332E0"/>
    <w:rsid w:val="0013443D"/>
    <w:rsid w:val="00134DE7"/>
    <w:rsid w:val="00137B20"/>
    <w:rsid w:val="001408AE"/>
    <w:rsid w:val="00144421"/>
    <w:rsid w:val="001675E2"/>
    <w:rsid w:val="00170CE1"/>
    <w:rsid w:val="00173ACB"/>
    <w:rsid w:val="00175392"/>
    <w:rsid w:val="00182B55"/>
    <w:rsid w:val="00182F96"/>
    <w:rsid w:val="00185354"/>
    <w:rsid w:val="001854DC"/>
    <w:rsid w:val="00186795"/>
    <w:rsid w:val="0019297E"/>
    <w:rsid w:val="00193142"/>
    <w:rsid w:val="00194D09"/>
    <w:rsid w:val="001A0367"/>
    <w:rsid w:val="001A3B93"/>
    <w:rsid w:val="001A5EDE"/>
    <w:rsid w:val="001A7D5C"/>
    <w:rsid w:val="001A7F62"/>
    <w:rsid w:val="001B04F6"/>
    <w:rsid w:val="001B1FF3"/>
    <w:rsid w:val="001B2793"/>
    <w:rsid w:val="001B60AA"/>
    <w:rsid w:val="001B63C8"/>
    <w:rsid w:val="001C1972"/>
    <w:rsid w:val="001C3DAF"/>
    <w:rsid w:val="001C421F"/>
    <w:rsid w:val="001C5BCF"/>
    <w:rsid w:val="001C7EBF"/>
    <w:rsid w:val="001D360D"/>
    <w:rsid w:val="001D74EC"/>
    <w:rsid w:val="001E0EF0"/>
    <w:rsid w:val="001E151A"/>
    <w:rsid w:val="001E1A1A"/>
    <w:rsid w:val="001F1147"/>
    <w:rsid w:val="001F15AF"/>
    <w:rsid w:val="001F1795"/>
    <w:rsid w:val="001F3245"/>
    <w:rsid w:val="001F4B37"/>
    <w:rsid w:val="00202158"/>
    <w:rsid w:val="00203BAE"/>
    <w:rsid w:val="00207A98"/>
    <w:rsid w:val="0021071D"/>
    <w:rsid w:val="00211F1F"/>
    <w:rsid w:val="00214255"/>
    <w:rsid w:val="00215E9E"/>
    <w:rsid w:val="0021686B"/>
    <w:rsid w:val="00222148"/>
    <w:rsid w:val="002439FD"/>
    <w:rsid w:val="002449B6"/>
    <w:rsid w:val="00247EFE"/>
    <w:rsid w:val="00250059"/>
    <w:rsid w:val="002526D4"/>
    <w:rsid w:val="002549F0"/>
    <w:rsid w:val="0025585E"/>
    <w:rsid w:val="00260132"/>
    <w:rsid w:val="00260B14"/>
    <w:rsid w:val="00261A8D"/>
    <w:rsid w:val="00264A1B"/>
    <w:rsid w:val="00272ABC"/>
    <w:rsid w:val="0027690C"/>
    <w:rsid w:val="00277F0F"/>
    <w:rsid w:val="002800A4"/>
    <w:rsid w:val="00281B63"/>
    <w:rsid w:val="002820D1"/>
    <w:rsid w:val="00283C1C"/>
    <w:rsid w:val="00285C42"/>
    <w:rsid w:val="0029151E"/>
    <w:rsid w:val="00291A00"/>
    <w:rsid w:val="00291A11"/>
    <w:rsid w:val="00297304"/>
    <w:rsid w:val="00297769"/>
    <w:rsid w:val="002A315C"/>
    <w:rsid w:val="002A3342"/>
    <w:rsid w:val="002A64BA"/>
    <w:rsid w:val="002A7E9A"/>
    <w:rsid w:val="002B014C"/>
    <w:rsid w:val="002B2C59"/>
    <w:rsid w:val="002B4989"/>
    <w:rsid w:val="002B7083"/>
    <w:rsid w:val="002B77BF"/>
    <w:rsid w:val="002B7D86"/>
    <w:rsid w:val="002C2510"/>
    <w:rsid w:val="002D171A"/>
    <w:rsid w:val="002D714E"/>
    <w:rsid w:val="002E3003"/>
    <w:rsid w:val="002E4D15"/>
    <w:rsid w:val="002E53C3"/>
    <w:rsid w:val="002E75F6"/>
    <w:rsid w:val="002E7822"/>
    <w:rsid w:val="002F095E"/>
    <w:rsid w:val="002F1468"/>
    <w:rsid w:val="002F4BD1"/>
    <w:rsid w:val="002F5F0C"/>
    <w:rsid w:val="002F61E5"/>
    <w:rsid w:val="002F6DAD"/>
    <w:rsid w:val="00300AE0"/>
    <w:rsid w:val="00302022"/>
    <w:rsid w:val="00314251"/>
    <w:rsid w:val="00315901"/>
    <w:rsid w:val="00317819"/>
    <w:rsid w:val="00321536"/>
    <w:rsid w:val="00322307"/>
    <w:rsid w:val="00322AF0"/>
    <w:rsid w:val="00324E96"/>
    <w:rsid w:val="003265EB"/>
    <w:rsid w:val="003328FF"/>
    <w:rsid w:val="003372C5"/>
    <w:rsid w:val="003404E3"/>
    <w:rsid w:val="0034329E"/>
    <w:rsid w:val="00343FAA"/>
    <w:rsid w:val="00346BAD"/>
    <w:rsid w:val="00347B8B"/>
    <w:rsid w:val="00347F5E"/>
    <w:rsid w:val="00350E78"/>
    <w:rsid w:val="003521CF"/>
    <w:rsid w:val="00353B37"/>
    <w:rsid w:val="00353C98"/>
    <w:rsid w:val="00354DAD"/>
    <w:rsid w:val="00357A46"/>
    <w:rsid w:val="003605A2"/>
    <w:rsid w:val="003621BE"/>
    <w:rsid w:val="00364EFB"/>
    <w:rsid w:val="003650A7"/>
    <w:rsid w:val="003653F4"/>
    <w:rsid w:val="00365909"/>
    <w:rsid w:val="0036675E"/>
    <w:rsid w:val="0037095D"/>
    <w:rsid w:val="00371A20"/>
    <w:rsid w:val="00372D9A"/>
    <w:rsid w:val="00372E04"/>
    <w:rsid w:val="00373643"/>
    <w:rsid w:val="00380AB8"/>
    <w:rsid w:val="00381657"/>
    <w:rsid w:val="003821B4"/>
    <w:rsid w:val="00382CF3"/>
    <w:rsid w:val="003877E1"/>
    <w:rsid w:val="00387D52"/>
    <w:rsid w:val="0039116C"/>
    <w:rsid w:val="003946A3"/>
    <w:rsid w:val="00396389"/>
    <w:rsid w:val="003A7CEA"/>
    <w:rsid w:val="003B4A46"/>
    <w:rsid w:val="003B6CAE"/>
    <w:rsid w:val="003E041E"/>
    <w:rsid w:val="003E3468"/>
    <w:rsid w:val="003E4189"/>
    <w:rsid w:val="003E445A"/>
    <w:rsid w:val="003E4B0F"/>
    <w:rsid w:val="003E796A"/>
    <w:rsid w:val="003F0BD3"/>
    <w:rsid w:val="003F278A"/>
    <w:rsid w:val="003F2ED4"/>
    <w:rsid w:val="003F41BA"/>
    <w:rsid w:val="003F4594"/>
    <w:rsid w:val="003F68C9"/>
    <w:rsid w:val="003F774F"/>
    <w:rsid w:val="003F7A02"/>
    <w:rsid w:val="00404ED8"/>
    <w:rsid w:val="00405400"/>
    <w:rsid w:val="004162BD"/>
    <w:rsid w:val="0041678C"/>
    <w:rsid w:val="00417660"/>
    <w:rsid w:val="00422EA5"/>
    <w:rsid w:val="00422EFA"/>
    <w:rsid w:val="00423916"/>
    <w:rsid w:val="0042791F"/>
    <w:rsid w:val="00432CCC"/>
    <w:rsid w:val="00433913"/>
    <w:rsid w:val="0043462D"/>
    <w:rsid w:val="00437D51"/>
    <w:rsid w:val="00440149"/>
    <w:rsid w:val="0044084C"/>
    <w:rsid w:val="004437F3"/>
    <w:rsid w:val="004456ED"/>
    <w:rsid w:val="004459CF"/>
    <w:rsid w:val="00473656"/>
    <w:rsid w:val="004736B2"/>
    <w:rsid w:val="00474E10"/>
    <w:rsid w:val="0048045A"/>
    <w:rsid w:val="00481312"/>
    <w:rsid w:val="004841B8"/>
    <w:rsid w:val="00490CA3"/>
    <w:rsid w:val="004930F2"/>
    <w:rsid w:val="00495E8B"/>
    <w:rsid w:val="004A2477"/>
    <w:rsid w:val="004A2B97"/>
    <w:rsid w:val="004A44F1"/>
    <w:rsid w:val="004A64E4"/>
    <w:rsid w:val="004A75AA"/>
    <w:rsid w:val="004A7E23"/>
    <w:rsid w:val="004B0F1C"/>
    <w:rsid w:val="004B56AB"/>
    <w:rsid w:val="004C2F9D"/>
    <w:rsid w:val="004D0B29"/>
    <w:rsid w:val="004D2BEF"/>
    <w:rsid w:val="004D30BB"/>
    <w:rsid w:val="004D396C"/>
    <w:rsid w:val="004D3C2A"/>
    <w:rsid w:val="004E2733"/>
    <w:rsid w:val="004E2B2C"/>
    <w:rsid w:val="004E2C9E"/>
    <w:rsid w:val="004E3A0B"/>
    <w:rsid w:val="004E462B"/>
    <w:rsid w:val="004E5077"/>
    <w:rsid w:val="004E570B"/>
    <w:rsid w:val="004E5810"/>
    <w:rsid w:val="004E6D67"/>
    <w:rsid w:val="004F2EE6"/>
    <w:rsid w:val="004F66F8"/>
    <w:rsid w:val="004F67BD"/>
    <w:rsid w:val="004F67CD"/>
    <w:rsid w:val="004F6D16"/>
    <w:rsid w:val="00501D74"/>
    <w:rsid w:val="00502C30"/>
    <w:rsid w:val="00502DBA"/>
    <w:rsid w:val="005040C4"/>
    <w:rsid w:val="00507637"/>
    <w:rsid w:val="00507852"/>
    <w:rsid w:val="00507980"/>
    <w:rsid w:val="00510FC2"/>
    <w:rsid w:val="00511AC4"/>
    <w:rsid w:val="00511BA1"/>
    <w:rsid w:val="00514DBF"/>
    <w:rsid w:val="00515C30"/>
    <w:rsid w:val="00516BA3"/>
    <w:rsid w:val="0052247E"/>
    <w:rsid w:val="005230FC"/>
    <w:rsid w:val="0052347C"/>
    <w:rsid w:val="00523F69"/>
    <w:rsid w:val="00524363"/>
    <w:rsid w:val="00531B75"/>
    <w:rsid w:val="00542089"/>
    <w:rsid w:val="0054298F"/>
    <w:rsid w:val="005440D6"/>
    <w:rsid w:val="00544E69"/>
    <w:rsid w:val="00550921"/>
    <w:rsid w:val="005518F4"/>
    <w:rsid w:val="00557485"/>
    <w:rsid w:val="00557826"/>
    <w:rsid w:val="00557F63"/>
    <w:rsid w:val="00560381"/>
    <w:rsid w:val="00560658"/>
    <w:rsid w:val="00563712"/>
    <w:rsid w:val="00564450"/>
    <w:rsid w:val="00564819"/>
    <w:rsid w:val="0057295B"/>
    <w:rsid w:val="00573631"/>
    <w:rsid w:val="00573C0B"/>
    <w:rsid w:val="00575392"/>
    <w:rsid w:val="00575CBF"/>
    <w:rsid w:val="005768D7"/>
    <w:rsid w:val="00576CFA"/>
    <w:rsid w:val="00581B2F"/>
    <w:rsid w:val="0058556D"/>
    <w:rsid w:val="00587399"/>
    <w:rsid w:val="00590B11"/>
    <w:rsid w:val="00592AF2"/>
    <w:rsid w:val="005947AD"/>
    <w:rsid w:val="00595528"/>
    <w:rsid w:val="005960CB"/>
    <w:rsid w:val="00597748"/>
    <w:rsid w:val="005979E8"/>
    <w:rsid w:val="005A381F"/>
    <w:rsid w:val="005A3FC3"/>
    <w:rsid w:val="005B09DC"/>
    <w:rsid w:val="005B2E63"/>
    <w:rsid w:val="005B4AC2"/>
    <w:rsid w:val="005B4E3F"/>
    <w:rsid w:val="005B696F"/>
    <w:rsid w:val="005C262D"/>
    <w:rsid w:val="005C5A56"/>
    <w:rsid w:val="005D0A78"/>
    <w:rsid w:val="005D0AF4"/>
    <w:rsid w:val="005D691D"/>
    <w:rsid w:val="005D6ACB"/>
    <w:rsid w:val="005E1421"/>
    <w:rsid w:val="005E1A51"/>
    <w:rsid w:val="005E438C"/>
    <w:rsid w:val="005E54BD"/>
    <w:rsid w:val="005F2405"/>
    <w:rsid w:val="005F4F19"/>
    <w:rsid w:val="005F529B"/>
    <w:rsid w:val="005F53C0"/>
    <w:rsid w:val="005F6CCA"/>
    <w:rsid w:val="00600AE7"/>
    <w:rsid w:val="006025A8"/>
    <w:rsid w:val="00602CC9"/>
    <w:rsid w:val="00602FAB"/>
    <w:rsid w:val="006058AE"/>
    <w:rsid w:val="0060692D"/>
    <w:rsid w:val="006104AF"/>
    <w:rsid w:val="00616932"/>
    <w:rsid w:val="00621790"/>
    <w:rsid w:val="00621893"/>
    <w:rsid w:val="006307DA"/>
    <w:rsid w:val="00631679"/>
    <w:rsid w:val="00631FE8"/>
    <w:rsid w:val="006351E1"/>
    <w:rsid w:val="00637BA5"/>
    <w:rsid w:val="006405CC"/>
    <w:rsid w:val="00640DE8"/>
    <w:rsid w:val="00641108"/>
    <w:rsid w:val="006447B1"/>
    <w:rsid w:val="00647BE0"/>
    <w:rsid w:val="006523C9"/>
    <w:rsid w:val="0065522F"/>
    <w:rsid w:val="00657408"/>
    <w:rsid w:val="00662775"/>
    <w:rsid w:val="00662DE3"/>
    <w:rsid w:val="00663DF6"/>
    <w:rsid w:val="006677C1"/>
    <w:rsid w:val="00672BA4"/>
    <w:rsid w:val="0067574B"/>
    <w:rsid w:val="00677FA5"/>
    <w:rsid w:val="006825BE"/>
    <w:rsid w:val="006852FC"/>
    <w:rsid w:val="00685844"/>
    <w:rsid w:val="006870A3"/>
    <w:rsid w:val="006964B4"/>
    <w:rsid w:val="006A3635"/>
    <w:rsid w:val="006A3833"/>
    <w:rsid w:val="006A5ABD"/>
    <w:rsid w:val="006A6A43"/>
    <w:rsid w:val="006A6BC9"/>
    <w:rsid w:val="006B0353"/>
    <w:rsid w:val="006B0BD1"/>
    <w:rsid w:val="006B1752"/>
    <w:rsid w:val="006B40AB"/>
    <w:rsid w:val="006B5DC5"/>
    <w:rsid w:val="006C1684"/>
    <w:rsid w:val="006C4BFD"/>
    <w:rsid w:val="006C4DAB"/>
    <w:rsid w:val="006C4ED8"/>
    <w:rsid w:val="006C75C6"/>
    <w:rsid w:val="006C7D30"/>
    <w:rsid w:val="006C7E42"/>
    <w:rsid w:val="006E3C08"/>
    <w:rsid w:val="006F5B16"/>
    <w:rsid w:val="00700ACF"/>
    <w:rsid w:val="007012E5"/>
    <w:rsid w:val="007013DC"/>
    <w:rsid w:val="00704E8A"/>
    <w:rsid w:val="00712487"/>
    <w:rsid w:val="007209E2"/>
    <w:rsid w:val="007302AD"/>
    <w:rsid w:val="007359CA"/>
    <w:rsid w:val="00743828"/>
    <w:rsid w:val="00745640"/>
    <w:rsid w:val="00745906"/>
    <w:rsid w:val="00746A67"/>
    <w:rsid w:val="00746F2B"/>
    <w:rsid w:val="007508AF"/>
    <w:rsid w:val="0075098C"/>
    <w:rsid w:val="007520B9"/>
    <w:rsid w:val="007530CA"/>
    <w:rsid w:val="007535B5"/>
    <w:rsid w:val="00755E6D"/>
    <w:rsid w:val="00756D68"/>
    <w:rsid w:val="007578D9"/>
    <w:rsid w:val="00757E8A"/>
    <w:rsid w:val="00763E43"/>
    <w:rsid w:val="00764EB5"/>
    <w:rsid w:val="00767960"/>
    <w:rsid w:val="00767B41"/>
    <w:rsid w:val="0077119E"/>
    <w:rsid w:val="007714DC"/>
    <w:rsid w:val="0077358C"/>
    <w:rsid w:val="00777A95"/>
    <w:rsid w:val="00782416"/>
    <w:rsid w:val="00785286"/>
    <w:rsid w:val="0078753E"/>
    <w:rsid w:val="00796BB0"/>
    <w:rsid w:val="007A07D3"/>
    <w:rsid w:val="007A47A0"/>
    <w:rsid w:val="007A7EFD"/>
    <w:rsid w:val="007B0364"/>
    <w:rsid w:val="007B2FE9"/>
    <w:rsid w:val="007B74F0"/>
    <w:rsid w:val="007B76CF"/>
    <w:rsid w:val="007C3F7B"/>
    <w:rsid w:val="007C528A"/>
    <w:rsid w:val="007D0981"/>
    <w:rsid w:val="007D1929"/>
    <w:rsid w:val="007D59F2"/>
    <w:rsid w:val="007D7E1A"/>
    <w:rsid w:val="007E0D95"/>
    <w:rsid w:val="007E18DB"/>
    <w:rsid w:val="007E1F2C"/>
    <w:rsid w:val="007E3A68"/>
    <w:rsid w:val="007F1E2B"/>
    <w:rsid w:val="007F2F56"/>
    <w:rsid w:val="007F54F9"/>
    <w:rsid w:val="007F6458"/>
    <w:rsid w:val="007F68F3"/>
    <w:rsid w:val="00801A18"/>
    <w:rsid w:val="00803CF1"/>
    <w:rsid w:val="00804E11"/>
    <w:rsid w:val="00806E42"/>
    <w:rsid w:val="008104BB"/>
    <w:rsid w:val="00812EDE"/>
    <w:rsid w:val="00814995"/>
    <w:rsid w:val="00815EF4"/>
    <w:rsid w:val="0081686A"/>
    <w:rsid w:val="008249C5"/>
    <w:rsid w:val="00825C55"/>
    <w:rsid w:val="00826906"/>
    <w:rsid w:val="00827C24"/>
    <w:rsid w:val="00831ED4"/>
    <w:rsid w:val="00833275"/>
    <w:rsid w:val="008352ED"/>
    <w:rsid w:val="00836B04"/>
    <w:rsid w:val="00836E63"/>
    <w:rsid w:val="00843042"/>
    <w:rsid w:val="008431AD"/>
    <w:rsid w:val="008463F5"/>
    <w:rsid w:val="00852018"/>
    <w:rsid w:val="008526F9"/>
    <w:rsid w:val="0085285E"/>
    <w:rsid w:val="00852E9E"/>
    <w:rsid w:val="00853023"/>
    <w:rsid w:val="008534D4"/>
    <w:rsid w:val="008610BA"/>
    <w:rsid w:val="00862439"/>
    <w:rsid w:val="00873277"/>
    <w:rsid w:val="008767E0"/>
    <w:rsid w:val="00880924"/>
    <w:rsid w:val="00881E28"/>
    <w:rsid w:val="0088203B"/>
    <w:rsid w:val="00882206"/>
    <w:rsid w:val="0088568E"/>
    <w:rsid w:val="00885F58"/>
    <w:rsid w:val="00892AB5"/>
    <w:rsid w:val="00894C4B"/>
    <w:rsid w:val="008954A5"/>
    <w:rsid w:val="008A12E3"/>
    <w:rsid w:val="008A42FA"/>
    <w:rsid w:val="008A596E"/>
    <w:rsid w:val="008B0AC7"/>
    <w:rsid w:val="008C2335"/>
    <w:rsid w:val="008C3043"/>
    <w:rsid w:val="008C67C1"/>
    <w:rsid w:val="008D0768"/>
    <w:rsid w:val="008D1A7D"/>
    <w:rsid w:val="008D1D39"/>
    <w:rsid w:val="008D1DD3"/>
    <w:rsid w:val="008D2218"/>
    <w:rsid w:val="008D7602"/>
    <w:rsid w:val="008D797B"/>
    <w:rsid w:val="008E116C"/>
    <w:rsid w:val="008E152F"/>
    <w:rsid w:val="008E19D7"/>
    <w:rsid w:val="008E5239"/>
    <w:rsid w:val="008F01AE"/>
    <w:rsid w:val="008F07D2"/>
    <w:rsid w:val="008F0961"/>
    <w:rsid w:val="008F3CBD"/>
    <w:rsid w:val="008F7393"/>
    <w:rsid w:val="0090048A"/>
    <w:rsid w:val="00901348"/>
    <w:rsid w:val="009014D4"/>
    <w:rsid w:val="009054D9"/>
    <w:rsid w:val="00906FD0"/>
    <w:rsid w:val="00907141"/>
    <w:rsid w:val="00911057"/>
    <w:rsid w:val="009115A9"/>
    <w:rsid w:val="009124DD"/>
    <w:rsid w:val="00917851"/>
    <w:rsid w:val="00917F65"/>
    <w:rsid w:val="00920CBE"/>
    <w:rsid w:val="00920EAE"/>
    <w:rsid w:val="00924D09"/>
    <w:rsid w:val="00925267"/>
    <w:rsid w:val="00925C9E"/>
    <w:rsid w:val="009271D8"/>
    <w:rsid w:val="009300F9"/>
    <w:rsid w:val="009311E7"/>
    <w:rsid w:val="00932493"/>
    <w:rsid w:val="0094244A"/>
    <w:rsid w:val="00942694"/>
    <w:rsid w:val="009427DF"/>
    <w:rsid w:val="009434CA"/>
    <w:rsid w:val="009434FA"/>
    <w:rsid w:val="00947CCF"/>
    <w:rsid w:val="00951F4F"/>
    <w:rsid w:val="009541BE"/>
    <w:rsid w:val="00955559"/>
    <w:rsid w:val="00956616"/>
    <w:rsid w:val="00957524"/>
    <w:rsid w:val="00964BE5"/>
    <w:rsid w:val="00983CF0"/>
    <w:rsid w:val="0098647F"/>
    <w:rsid w:val="009869CE"/>
    <w:rsid w:val="00987E65"/>
    <w:rsid w:val="00990CED"/>
    <w:rsid w:val="009916DB"/>
    <w:rsid w:val="00991DE0"/>
    <w:rsid w:val="00992BAE"/>
    <w:rsid w:val="00992CE0"/>
    <w:rsid w:val="00993DFC"/>
    <w:rsid w:val="0099508C"/>
    <w:rsid w:val="009971F4"/>
    <w:rsid w:val="009A0E98"/>
    <w:rsid w:val="009A3AE0"/>
    <w:rsid w:val="009A47F3"/>
    <w:rsid w:val="009A7E3A"/>
    <w:rsid w:val="009B1265"/>
    <w:rsid w:val="009B1D93"/>
    <w:rsid w:val="009B294F"/>
    <w:rsid w:val="009B4A15"/>
    <w:rsid w:val="009B5693"/>
    <w:rsid w:val="009B6B82"/>
    <w:rsid w:val="009C1FE1"/>
    <w:rsid w:val="009C279F"/>
    <w:rsid w:val="009C5EE2"/>
    <w:rsid w:val="009C61A2"/>
    <w:rsid w:val="009C63CA"/>
    <w:rsid w:val="009C78E4"/>
    <w:rsid w:val="009D3461"/>
    <w:rsid w:val="009D4EF4"/>
    <w:rsid w:val="009D6663"/>
    <w:rsid w:val="009D687E"/>
    <w:rsid w:val="009D70E5"/>
    <w:rsid w:val="009E090D"/>
    <w:rsid w:val="009E1058"/>
    <w:rsid w:val="009E1C92"/>
    <w:rsid w:val="009E554E"/>
    <w:rsid w:val="009F303F"/>
    <w:rsid w:val="009F6519"/>
    <w:rsid w:val="009F6DE7"/>
    <w:rsid w:val="009F708B"/>
    <w:rsid w:val="009F71DF"/>
    <w:rsid w:val="009F7614"/>
    <w:rsid w:val="00A05783"/>
    <w:rsid w:val="00A07CEF"/>
    <w:rsid w:val="00A10583"/>
    <w:rsid w:val="00A12BE9"/>
    <w:rsid w:val="00A2072E"/>
    <w:rsid w:val="00A215BC"/>
    <w:rsid w:val="00A21C36"/>
    <w:rsid w:val="00A23003"/>
    <w:rsid w:val="00A23576"/>
    <w:rsid w:val="00A23CC8"/>
    <w:rsid w:val="00A36197"/>
    <w:rsid w:val="00A37FCB"/>
    <w:rsid w:val="00A40CBF"/>
    <w:rsid w:val="00A442E4"/>
    <w:rsid w:val="00A53427"/>
    <w:rsid w:val="00A54863"/>
    <w:rsid w:val="00A55AFB"/>
    <w:rsid w:val="00A61D74"/>
    <w:rsid w:val="00A65E27"/>
    <w:rsid w:val="00A6639A"/>
    <w:rsid w:val="00A67770"/>
    <w:rsid w:val="00A72412"/>
    <w:rsid w:val="00A72969"/>
    <w:rsid w:val="00A75DA7"/>
    <w:rsid w:val="00A81947"/>
    <w:rsid w:val="00A81CC4"/>
    <w:rsid w:val="00A81DE2"/>
    <w:rsid w:val="00A8614A"/>
    <w:rsid w:val="00A8688B"/>
    <w:rsid w:val="00A91163"/>
    <w:rsid w:val="00A9286F"/>
    <w:rsid w:val="00A96255"/>
    <w:rsid w:val="00A97B3B"/>
    <w:rsid w:val="00A97FAE"/>
    <w:rsid w:val="00AA0026"/>
    <w:rsid w:val="00AA073A"/>
    <w:rsid w:val="00AA4762"/>
    <w:rsid w:val="00AA5F5A"/>
    <w:rsid w:val="00AB285B"/>
    <w:rsid w:val="00AB31CE"/>
    <w:rsid w:val="00AB518C"/>
    <w:rsid w:val="00AB6635"/>
    <w:rsid w:val="00AC5F31"/>
    <w:rsid w:val="00AC61F4"/>
    <w:rsid w:val="00AC6983"/>
    <w:rsid w:val="00AD1AC8"/>
    <w:rsid w:val="00AD1BFD"/>
    <w:rsid w:val="00AD3140"/>
    <w:rsid w:val="00AE0D95"/>
    <w:rsid w:val="00AE1517"/>
    <w:rsid w:val="00AE1C10"/>
    <w:rsid w:val="00AE6134"/>
    <w:rsid w:val="00AF1649"/>
    <w:rsid w:val="00AF53C4"/>
    <w:rsid w:val="00AF5552"/>
    <w:rsid w:val="00AF5CB4"/>
    <w:rsid w:val="00AF5ED1"/>
    <w:rsid w:val="00AF6277"/>
    <w:rsid w:val="00AF71D6"/>
    <w:rsid w:val="00B003E7"/>
    <w:rsid w:val="00B023AC"/>
    <w:rsid w:val="00B06573"/>
    <w:rsid w:val="00B10DA5"/>
    <w:rsid w:val="00B12648"/>
    <w:rsid w:val="00B16DB1"/>
    <w:rsid w:val="00B213CA"/>
    <w:rsid w:val="00B216EE"/>
    <w:rsid w:val="00B22BCE"/>
    <w:rsid w:val="00B24CF1"/>
    <w:rsid w:val="00B24FED"/>
    <w:rsid w:val="00B266D1"/>
    <w:rsid w:val="00B3175F"/>
    <w:rsid w:val="00B31E2C"/>
    <w:rsid w:val="00B32265"/>
    <w:rsid w:val="00B3241A"/>
    <w:rsid w:val="00B329B0"/>
    <w:rsid w:val="00B33A07"/>
    <w:rsid w:val="00B33D63"/>
    <w:rsid w:val="00B3453F"/>
    <w:rsid w:val="00B402D8"/>
    <w:rsid w:val="00B4237C"/>
    <w:rsid w:val="00B42FE8"/>
    <w:rsid w:val="00B4361C"/>
    <w:rsid w:val="00B452DE"/>
    <w:rsid w:val="00B508DD"/>
    <w:rsid w:val="00B52AFD"/>
    <w:rsid w:val="00B54077"/>
    <w:rsid w:val="00B55FFD"/>
    <w:rsid w:val="00B636CF"/>
    <w:rsid w:val="00B70909"/>
    <w:rsid w:val="00B70B75"/>
    <w:rsid w:val="00B75393"/>
    <w:rsid w:val="00B8087E"/>
    <w:rsid w:val="00B82BA0"/>
    <w:rsid w:val="00B841C6"/>
    <w:rsid w:val="00B8539E"/>
    <w:rsid w:val="00B8540E"/>
    <w:rsid w:val="00B906B8"/>
    <w:rsid w:val="00B92694"/>
    <w:rsid w:val="00B92738"/>
    <w:rsid w:val="00B976FE"/>
    <w:rsid w:val="00BA1F0A"/>
    <w:rsid w:val="00BA33F7"/>
    <w:rsid w:val="00BA7689"/>
    <w:rsid w:val="00BB0435"/>
    <w:rsid w:val="00BB2F5B"/>
    <w:rsid w:val="00BB34B0"/>
    <w:rsid w:val="00BB5EAB"/>
    <w:rsid w:val="00BB646E"/>
    <w:rsid w:val="00BB7E28"/>
    <w:rsid w:val="00BC15A5"/>
    <w:rsid w:val="00BC24C4"/>
    <w:rsid w:val="00BC2945"/>
    <w:rsid w:val="00BD1BA1"/>
    <w:rsid w:val="00BE233F"/>
    <w:rsid w:val="00BE2D23"/>
    <w:rsid w:val="00BE31B0"/>
    <w:rsid w:val="00BE5351"/>
    <w:rsid w:val="00BF070E"/>
    <w:rsid w:val="00C00677"/>
    <w:rsid w:val="00C019E5"/>
    <w:rsid w:val="00C05056"/>
    <w:rsid w:val="00C10B80"/>
    <w:rsid w:val="00C159ED"/>
    <w:rsid w:val="00C16FB6"/>
    <w:rsid w:val="00C256CD"/>
    <w:rsid w:val="00C272B4"/>
    <w:rsid w:val="00C32BAB"/>
    <w:rsid w:val="00C35BC4"/>
    <w:rsid w:val="00C36E50"/>
    <w:rsid w:val="00C43F5B"/>
    <w:rsid w:val="00C463A4"/>
    <w:rsid w:val="00C52A1A"/>
    <w:rsid w:val="00C57266"/>
    <w:rsid w:val="00C6385F"/>
    <w:rsid w:val="00C63F50"/>
    <w:rsid w:val="00C64236"/>
    <w:rsid w:val="00C80285"/>
    <w:rsid w:val="00C84FCF"/>
    <w:rsid w:val="00C85A38"/>
    <w:rsid w:val="00C87720"/>
    <w:rsid w:val="00C87C75"/>
    <w:rsid w:val="00C90578"/>
    <w:rsid w:val="00C9712D"/>
    <w:rsid w:val="00CB0123"/>
    <w:rsid w:val="00CB4371"/>
    <w:rsid w:val="00CB54EA"/>
    <w:rsid w:val="00CC516D"/>
    <w:rsid w:val="00CC65AE"/>
    <w:rsid w:val="00CD0B0A"/>
    <w:rsid w:val="00CD0FCA"/>
    <w:rsid w:val="00CD13A1"/>
    <w:rsid w:val="00CD5866"/>
    <w:rsid w:val="00CD7FD9"/>
    <w:rsid w:val="00CE4403"/>
    <w:rsid w:val="00CE5E47"/>
    <w:rsid w:val="00CE78DB"/>
    <w:rsid w:val="00CF2514"/>
    <w:rsid w:val="00CF25D3"/>
    <w:rsid w:val="00D00363"/>
    <w:rsid w:val="00D011AF"/>
    <w:rsid w:val="00D108DC"/>
    <w:rsid w:val="00D10B00"/>
    <w:rsid w:val="00D12886"/>
    <w:rsid w:val="00D14F12"/>
    <w:rsid w:val="00D1593E"/>
    <w:rsid w:val="00D1710C"/>
    <w:rsid w:val="00D2008E"/>
    <w:rsid w:val="00D20729"/>
    <w:rsid w:val="00D24330"/>
    <w:rsid w:val="00D25FDB"/>
    <w:rsid w:val="00D3075C"/>
    <w:rsid w:val="00D3344D"/>
    <w:rsid w:val="00D34180"/>
    <w:rsid w:val="00D36938"/>
    <w:rsid w:val="00D40056"/>
    <w:rsid w:val="00D415B0"/>
    <w:rsid w:val="00D42919"/>
    <w:rsid w:val="00D431E3"/>
    <w:rsid w:val="00D439A7"/>
    <w:rsid w:val="00D44554"/>
    <w:rsid w:val="00D460CE"/>
    <w:rsid w:val="00D51E7C"/>
    <w:rsid w:val="00D53763"/>
    <w:rsid w:val="00D53D68"/>
    <w:rsid w:val="00D5451B"/>
    <w:rsid w:val="00D54F29"/>
    <w:rsid w:val="00D63D38"/>
    <w:rsid w:val="00D64352"/>
    <w:rsid w:val="00D65231"/>
    <w:rsid w:val="00D658ED"/>
    <w:rsid w:val="00D7020C"/>
    <w:rsid w:val="00D70AD9"/>
    <w:rsid w:val="00D72152"/>
    <w:rsid w:val="00D81ABE"/>
    <w:rsid w:val="00D825E6"/>
    <w:rsid w:val="00D859A2"/>
    <w:rsid w:val="00D85FB1"/>
    <w:rsid w:val="00D904C1"/>
    <w:rsid w:val="00D91689"/>
    <w:rsid w:val="00D92DE0"/>
    <w:rsid w:val="00D93B30"/>
    <w:rsid w:val="00D945ED"/>
    <w:rsid w:val="00D9464B"/>
    <w:rsid w:val="00D94BA5"/>
    <w:rsid w:val="00D9510F"/>
    <w:rsid w:val="00D954C6"/>
    <w:rsid w:val="00D962DE"/>
    <w:rsid w:val="00D972B2"/>
    <w:rsid w:val="00D97633"/>
    <w:rsid w:val="00DA2D17"/>
    <w:rsid w:val="00DA3AB8"/>
    <w:rsid w:val="00DA615C"/>
    <w:rsid w:val="00DB59D3"/>
    <w:rsid w:val="00DC307F"/>
    <w:rsid w:val="00DC324C"/>
    <w:rsid w:val="00DC7830"/>
    <w:rsid w:val="00DD1BC6"/>
    <w:rsid w:val="00DD298C"/>
    <w:rsid w:val="00DD415D"/>
    <w:rsid w:val="00DD4D4A"/>
    <w:rsid w:val="00DE2FE8"/>
    <w:rsid w:val="00DE43F4"/>
    <w:rsid w:val="00DE5DC3"/>
    <w:rsid w:val="00DE6776"/>
    <w:rsid w:val="00E003BE"/>
    <w:rsid w:val="00E00D8A"/>
    <w:rsid w:val="00E05AE5"/>
    <w:rsid w:val="00E06D1D"/>
    <w:rsid w:val="00E07141"/>
    <w:rsid w:val="00E1050F"/>
    <w:rsid w:val="00E11604"/>
    <w:rsid w:val="00E11AF8"/>
    <w:rsid w:val="00E11D92"/>
    <w:rsid w:val="00E130A0"/>
    <w:rsid w:val="00E14A1A"/>
    <w:rsid w:val="00E16C64"/>
    <w:rsid w:val="00E172C7"/>
    <w:rsid w:val="00E20E10"/>
    <w:rsid w:val="00E210C4"/>
    <w:rsid w:val="00E2258D"/>
    <w:rsid w:val="00E23B76"/>
    <w:rsid w:val="00E23DB7"/>
    <w:rsid w:val="00E255BA"/>
    <w:rsid w:val="00E352CE"/>
    <w:rsid w:val="00E40F4C"/>
    <w:rsid w:val="00E42255"/>
    <w:rsid w:val="00E42ED0"/>
    <w:rsid w:val="00E43CC4"/>
    <w:rsid w:val="00E4640E"/>
    <w:rsid w:val="00E46D96"/>
    <w:rsid w:val="00E47BFC"/>
    <w:rsid w:val="00E510C8"/>
    <w:rsid w:val="00E51AAD"/>
    <w:rsid w:val="00E5246D"/>
    <w:rsid w:val="00E52BF7"/>
    <w:rsid w:val="00E52CCA"/>
    <w:rsid w:val="00E5391B"/>
    <w:rsid w:val="00E57FB4"/>
    <w:rsid w:val="00E60DA9"/>
    <w:rsid w:val="00E64503"/>
    <w:rsid w:val="00E66409"/>
    <w:rsid w:val="00E711DA"/>
    <w:rsid w:val="00E75176"/>
    <w:rsid w:val="00E75D20"/>
    <w:rsid w:val="00E75F8F"/>
    <w:rsid w:val="00E77E46"/>
    <w:rsid w:val="00E813C4"/>
    <w:rsid w:val="00E81A46"/>
    <w:rsid w:val="00E81D5B"/>
    <w:rsid w:val="00E85794"/>
    <w:rsid w:val="00E85C01"/>
    <w:rsid w:val="00E8666A"/>
    <w:rsid w:val="00E87CED"/>
    <w:rsid w:val="00E959C4"/>
    <w:rsid w:val="00E95B56"/>
    <w:rsid w:val="00E976B9"/>
    <w:rsid w:val="00EA05D3"/>
    <w:rsid w:val="00EA31CB"/>
    <w:rsid w:val="00EA3572"/>
    <w:rsid w:val="00EA430B"/>
    <w:rsid w:val="00EA7914"/>
    <w:rsid w:val="00EB19AD"/>
    <w:rsid w:val="00EB299D"/>
    <w:rsid w:val="00EB2F31"/>
    <w:rsid w:val="00EB44E1"/>
    <w:rsid w:val="00EB6493"/>
    <w:rsid w:val="00EB66B7"/>
    <w:rsid w:val="00EB75D4"/>
    <w:rsid w:val="00EC2915"/>
    <w:rsid w:val="00EC3636"/>
    <w:rsid w:val="00ED05A9"/>
    <w:rsid w:val="00ED1BA0"/>
    <w:rsid w:val="00ED2253"/>
    <w:rsid w:val="00ED61B3"/>
    <w:rsid w:val="00ED6D84"/>
    <w:rsid w:val="00EE0340"/>
    <w:rsid w:val="00EE055F"/>
    <w:rsid w:val="00EE5575"/>
    <w:rsid w:val="00EE78A6"/>
    <w:rsid w:val="00EF1CB3"/>
    <w:rsid w:val="00EF2C39"/>
    <w:rsid w:val="00EF3766"/>
    <w:rsid w:val="00EF3F5A"/>
    <w:rsid w:val="00EF668E"/>
    <w:rsid w:val="00EF70B9"/>
    <w:rsid w:val="00F00CF1"/>
    <w:rsid w:val="00F01A23"/>
    <w:rsid w:val="00F02FF9"/>
    <w:rsid w:val="00F14F5A"/>
    <w:rsid w:val="00F166CE"/>
    <w:rsid w:val="00F17257"/>
    <w:rsid w:val="00F211B0"/>
    <w:rsid w:val="00F231B0"/>
    <w:rsid w:val="00F3053C"/>
    <w:rsid w:val="00F3261D"/>
    <w:rsid w:val="00F34D24"/>
    <w:rsid w:val="00F36329"/>
    <w:rsid w:val="00F37F01"/>
    <w:rsid w:val="00F4130B"/>
    <w:rsid w:val="00F41485"/>
    <w:rsid w:val="00F46520"/>
    <w:rsid w:val="00F556A2"/>
    <w:rsid w:val="00F559B5"/>
    <w:rsid w:val="00F57B53"/>
    <w:rsid w:val="00F60B88"/>
    <w:rsid w:val="00F634C7"/>
    <w:rsid w:val="00F635F4"/>
    <w:rsid w:val="00F638F3"/>
    <w:rsid w:val="00F64CEB"/>
    <w:rsid w:val="00F65A9D"/>
    <w:rsid w:val="00F65FD6"/>
    <w:rsid w:val="00F700DF"/>
    <w:rsid w:val="00F719A8"/>
    <w:rsid w:val="00F71A3F"/>
    <w:rsid w:val="00F73067"/>
    <w:rsid w:val="00F732AB"/>
    <w:rsid w:val="00F7341B"/>
    <w:rsid w:val="00F80F12"/>
    <w:rsid w:val="00F81C61"/>
    <w:rsid w:val="00F82657"/>
    <w:rsid w:val="00F86C91"/>
    <w:rsid w:val="00F878B9"/>
    <w:rsid w:val="00F96263"/>
    <w:rsid w:val="00F96825"/>
    <w:rsid w:val="00FA2405"/>
    <w:rsid w:val="00FA7206"/>
    <w:rsid w:val="00FA7A2C"/>
    <w:rsid w:val="00FB0716"/>
    <w:rsid w:val="00FB0B2E"/>
    <w:rsid w:val="00FB24E8"/>
    <w:rsid w:val="00FB3B2B"/>
    <w:rsid w:val="00FB425D"/>
    <w:rsid w:val="00FB4E4E"/>
    <w:rsid w:val="00FB6B3C"/>
    <w:rsid w:val="00FC0417"/>
    <w:rsid w:val="00FC18DA"/>
    <w:rsid w:val="00FC3917"/>
    <w:rsid w:val="00FC6FE0"/>
    <w:rsid w:val="00FD14CF"/>
    <w:rsid w:val="00FD60DA"/>
    <w:rsid w:val="00FD6575"/>
    <w:rsid w:val="00FD7849"/>
    <w:rsid w:val="00FE0845"/>
    <w:rsid w:val="00FE0E34"/>
    <w:rsid w:val="00FE1080"/>
    <w:rsid w:val="00FF07B4"/>
    <w:rsid w:val="00FF0EB9"/>
    <w:rsid w:val="00FF2D80"/>
    <w:rsid w:val="139AE087"/>
    <w:rsid w:val="1A6352C6"/>
    <w:rsid w:val="1D0006E1"/>
    <w:rsid w:val="3DDC8F6E"/>
    <w:rsid w:val="66A6B0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3F8813D6-0543-474B-B0D6-607AF044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DB"/>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EA430B"/>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Default">
    <w:name w:val="Default"/>
    <w:rsid w:val="008D1DD3"/>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customStyle="1" w:styleId="GridTable1Light-Accent11">
    <w:name w:val="Grid Table 1 Light - Accent 11"/>
    <w:basedOn w:val="TableNormal"/>
    <w:next w:val="GridTable1Light-Accent1"/>
    <w:uiPriority w:val="46"/>
    <w:rsid w:val="008D1DD3"/>
    <w:pPr>
      <w:spacing w:after="0" w:line="240" w:lineRule="auto"/>
    </w:pPr>
    <w:rPr>
      <w:rFonts w:ascii="Calibri" w:eastAsia="Calibri" w:hAnsi="Calibri" w:cs="Arial"/>
      <w:lang w:val="en-US" w:eastAsia="en-US"/>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D1DD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7A7EFD"/>
    <w:pPr>
      <w:widowControl w:val="0"/>
      <w:autoSpaceDE w:val="0"/>
      <w:autoSpaceDN w:val="0"/>
      <w:adjustRightInd w:val="0"/>
      <w:spacing w:after="0" w:line="240" w:lineRule="auto"/>
      <w:ind w:left="540"/>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sid w:val="007A7EFD"/>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7A7EFD"/>
    <w:rPr>
      <w:vertAlign w:val="superscript"/>
    </w:rPr>
  </w:style>
  <w:style w:type="paragraph" w:styleId="NormalWeb">
    <w:name w:val="Normal (Web)"/>
    <w:basedOn w:val="Normal"/>
    <w:uiPriority w:val="99"/>
    <w:semiHidden/>
    <w:unhideWhenUsed/>
    <w:rsid w:val="0009627D"/>
    <w:pPr>
      <w:spacing w:after="160" w:line="259" w:lineRule="auto"/>
    </w:pPr>
    <w:rPr>
      <w:rFonts w:ascii="Times New Roman" w:eastAsiaTheme="minorHAnsi" w:hAnsi="Times New Roman" w:cs="Times New Roman"/>
      <w:sz w:val="24"/>
      <w:szCs w:val="24"/>
      <w:lang w:val="en-US" w:eastAsia="en-US"/>
    </w:rPr>
  </w:style>
  <w:style w:type="character" w:customStyle="1" w:styleId="UnresolvedMention2">
    <w:name w:val="Unresolved Mention2"/>
    <w:basedOn w:val="DefaultParagraphFont"/>
    <w:uiPriority w:val="99"/>
    <w:semiHidden/>
    <w:unhideWhenUsed/>
    <w:rsid w:val="0009627D"/>
    <w:rPr>
      <w:color w:val="808080"/>
      <w:shd w:val="clear" w:color="auto" w:fill="E6E6E6"/>
    </w:rPr>
  </w:style>
  <w:style w:type="paragraph" w:styleId="Revision">
    <w:name w:val="Revision"/>
    <w:hidden/>
    <w:uiPriority w:val="99"/>
    <w:semiHidden/>
    <w:rsid w:val="00806E42"/>
    <w:pPr>
      <w:spacing w:after="0" w:line="240" w:lineRule="auto"/>
    </w:pPr>
  </w:style>
  <w:style w:type="character" w:customStyle="1" w:styleId="UnresolvedMention3">
    <w:name w:val="Unresolved Mention3"/>
    <w:basedOn w:val="DefaultParagraphFont"/>
    <w:uiPriority w:val="99"/>
    <w:semiHidden/>
    <w:unhideWhenUsed/>
    <w:rsid w:val="00663DF6"/>
    <w:rPr>
      <w:color w:val="605E5C"/>
      <w:shd w:val="clear" w:color="auto" w:fill="E1DFDD"/>
    </w:rPr>
  </w:style>
  <w:style w:type="character" w:customStyle="1" w:styleId="UnresolvedMention4">
    <w:name w:val="Unresolved Mention4"/>
    <w:basedOn w:val="DefaultParagraphFont"/>
    <w:uiPriority w:val="99"/>
    <w:semiHidden/>
    <w:unhideWhenUsed/>
    <w:rsid w:val="004E2B2C"/>
    <w:rPr>
      <w:color w:val="605E5C"/>
      <w:shd w:val="clear" w:color="auto" w:fill="E1DFDD"/>
    </w:rPr>
  </w:style>
  <w:style w:type="character" w:styleId="UnresolvedMention">
    <w:name w:val="Unresolved Mention"/>
    <w:basedOn w:val="DefaultParagraphFont"/>
    <w:uiPriority w:val="99"/>
    <w:semiHidden/>
    <w:unhideWhenUsed/>
    <w:rsid w:val="004A64E4"/>
    <w:rPr>
      <w:color w:val="605E5C"/>
      <w:shd w:val="clear" w:color="auto" w:fill="E1DFDD"/>
    </w:rPr>
  </w:style>
  <w:style w:type="character" w:styleId="FollowedHyperlink">
    <w:name w:val="FollowedHyperlink"/>
    <w:basedOn w:val="DefaultParagraphFont"/>
    <w:uiPriority w:val="99"/>
    <w:semiHidden/>
    <w:unhideWhenUsed/>
    <w:rsid w:val="004A64E4"/>
    <w:rPr>
      <w:color w:val="800080" w:themeColor="followedHyperlink"/>
      <w:u w:val="single"/>
    </w:rPr>
  </w:style>
  <w:style w:type="character" w:styleId="Mention">
    <w:name w:val="Mention"/>
    <w:basedOn w:val="DefaultParagraphFont"/>
    <w:uiPriority w:val="99"/>
    <w:unhideWhenUsed/>
    <w:rsid w:val="008E116C"/>
    <w:rPr>
      <w:color w:val="2B579A"/>
      <w:shd w:val="clear" w:color="auto" w:fill="E1DFDD"/>
    </w:rPr>
  </w:style>
  <w:style w:type="character" w:customStyle="1" w:styleId="normaltextrun">
    <w:name w:val="normaltextrun"/>
    <w:basedOn w:val="DefaultParagraphFont"/>
    <w:rsid w:val="00DD298C"/>
  </w:style>
  <w:style w:type="paragraph" w:customStyle="1" w:styleId="CBDNormalNumber">
    <w:name w:val="CBD_Normal_Number"/>
    <w:basedOn w:val="Normal"/>
    <w:qFormat/>
    <w:rsid w:val="00DD298C"/>
    <w:pPr>
      <w:numPr>
        <w:numId w:val="16"/>
      </w:numPr>
      <w:tabs>
        <w:tab w:val="left" w:pos="567"/>
        <w:tab w:val="left" w:pos="1134"/>
        <w:tab w:val="left" w:pos="1701"/>
        <w:tab w:val="left" w:pos="2268"/>
        <w:tab w:val="left" w:pos="2835"/>
        <w:tab w:val="left" w:pos="3402"/>
        <w:tab w:val="left" w:pos="3969"/>
      </w:tabs>
      <w:spacing w:before="120" w:after="120" w:line="240" w:lineRule="auto"/>
      <w:jc w:val="both"/>
    </w:pPr>
    <w:rPr>
      <w:rFonts w:ascii="Times New Roman" w:eastAsia="SimSu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96">
      <w:bodyDiv w:val="1"/>
      <w:marLeft w:val="0"/>
      <w:marRight w:val="0"/>
      <w:marTop w:val="0"/>
      <w:marBottom w:val="0"/>
      <w:divBdr>
        <w:top w:val="none" w:sz="0" w:space="0" w:color="auto"/>
        <w:left w:val="none" w:sz="0" w:space="0" w:color="auto"/>
        <w:bottom w:val="none" w:sz="0" w:space="0" w:color="auto"/>
        <w:right w:val="none" w:sz="0" w:space="0" w:color="auto"/>
      </w:divBdr>
    </w:div>
    <w:div w:id="131681483">
      <w:bodyDiv w:val="1"/>
      <w:marLeft w:val="0"/>
      <w:marRight w:val="0"/>
      <w:marTop w:val="0"/>
      <w:marBottom w:val="0"/>
      <w:divBdr>
        <w:top w:val="none" w:sz="0" w:space="0" w:color="auto"/>
        <w:left w:val="none" w:sz="0" w:space="0" w:color="auto"/>
        <w:bottom w:val="none" w:sz="0" w:space="0" w:color="auto"/>
        <w:right w:val="none" w:sz="0" w:space="0" w:color="auto"/>
      </w:divBdr>
    </w:div>
    <w:div w:id="178082102">
      <w:bodyDiv w:val="1"/>
      <w:marLeft w:val="0"/>
      <w:marRight w:val="0"/>
      <w:marTop w:val="0"/>
      <w:marBottom w:val="0"/>
      <w:divBdr>
        <w:top w:val="none" w:sz="0" w:space="0" w:color="auto"/>
        <w:left w:val="none" w:sz="0" w:space="0" w:color="auto"/>
        <w:bottom w:val="none" w:sz="0" w:space="0" w:color="auto"/>
        <w:right w:val="none" w:sz="0" w:space="0" w:color="auto"/>
      </w:divBdr>
    </w:div>
    <w:div w:id="196236565">
      <w:bodyDiv w:val="1"/>
      <w:marLeft w:val="0"/>
      <w:marRight w:val="0"/>
      <w:marTop w:val="0"/>
      <w:marBottom w:val="0"/>
      <w:divBdr>
        <w:top w:val="none" w:sz="0" w:space="0" w:color="auto"/>
        <w:left w:val="none" w:sz="0" w:space="0" w:color="auto"/>
        <w:bottom w:val="none" w:sz="0" w:space="0" w:color="auto"/>
        <w:right w:val="none" w:sz="0" w:space="0" w:color="auto"/>
      </w:divBdr>
    </w:div>
    <w:div w:id="374349149">
      <w:bodyDiv w:val="1"/>
      <w:marLeft w:val="0"/>
      <w:marRight w:val="0"/>
      <w:marTop w:val="0"/>
      <w:marBottom w:val="0"/>
      <w:divBdr>
        <w:top w:val="none" w:sz="0" w:space="0" w:color="auto"/>
        <w:left w:val="none" w:sz="0" w:space="0" w:color="auto"/>
        <w:bottom w:val="none" w:sz="0" w:space="0" w:color="auto"/>
        <w:right w:val="none" w:sz="0" w:space="0" w:color="auto"/>
      </w:divBdr>
    </w:div>
    <w:div w:id="397172340">
      <w:bodyDiv w:val="1"/>
      <w:marLeft w:val="0"/>
      <w:marRight w:val="0"/>
      <w:marTop w:val="0"/>
      <w:marBottom w:val="0"/>
      <w:divBdr>
        <w:top w:val="none" w:sz="0" w:space="0" w:color="auto"/>
        <w:left w:val="none" w:sz="0" w:space="0" w:color="auto"/>
        <w:bottom w:val="none" w:sz="0" w:space="0" w:color="auto"/>
        <w:right w:val="none" w:sz="0" w:space="0" w:color="auto"/>
      </w:divBdr>
    </w:div>
    <w:div w:id="600454499">
      <w:bodyDiv w:val="1"/>
      <w:marLeft w:val="0"/>
      <w:marRight w:val="0"/>
      <w:marTop w:val="0"/>
      <w:marBottom w:val="0"/>
      <w:divBdr>
        <w:top w:val="none" w:sz="0" w:space="0" w:color="auto"/>
        <w:left w:val="none" w:sz="0" w:space="0" w:color="auto"/>
        <w:bottom w:val="none" w:sz="0" w:space="0" w:color="auto"/>
        <w:right w:val="none" w:sz="0" w:space="0" w:color="auto"/>
      </w:divBdr>
    </w:div>
    <w:div w:id="644120247">
      <w:bodyDiv w:val="1"/>
      <w:marLeft w:val="0"/>
      <w:marRight w:val="0"/>
      <w:marTop w:val="0"/>
      <w:marBottom w:val="0"/>
      <w:divBdr>
        <w:top w:val="none" w:sz="0" w:space="0" w:color="auto"/>
        <w:left w:val="none" w:sz="0" w:space="0" w:color="auto"/>
        <w:bottom w:val="none" w:sz="0" w:space="0" w:color="auto"/>
        <w:right w:val="none" w:sz="0" w:space="0" w:color="auto"/>
      </w:divBdr>
    </w:div>
    <w:div w:id="744835277">
      <w:bodyDiv w:val="1"/>
      <w:marLeft w:val="0"/>
      <w:marRight w:val="0"/>
      <w:marTop w:val="0"/>
      <w:marBottom w:val="0"/>
      <w:divBdr>
        <w:top w:val="none" w:sz="0" w:space="0" w:color="auto"/>
        <w:left w:val="none" w:sz="0" w:space="0" w:color="auto"/>
        <w:bottom w:val="none" w:sz="0" w:space="0" w:color="auto"/>
        <w:right w:val="none" w:sz="0" w:space="0" w:color="auto"/>
      </w:divBdr>
    </w:div>
    <w:div w:id="941450182">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2165203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07450079">
      <w:bodyDiv w:val="1"/>
      <w:marLeft w:val="0"/>
      <w:marRight w:val="0"/>
      <w:marTop w:val="0"/>
      <w:marBottom w:val="0"/>
      <w:divBdr>
        <w:top w:val="none" w:sz="0" w:space="0" w:color="auto"/>
        <w:left w:val="none" w:sz="0" w:space="0" w:color="auto"/>
        <w:bottom w:val="none" w:sz="0" w:space="0" w:color="auto"/>
        <w:right w:val="none" w:sz="0" w:space="0" w:color="auto"/>
      </w:divBdr>
    </w:div>
    <w:div w:id="1266963211">
      <w:bodyDiv w:val="1"/>
      <w:marLeft w:val="0"/>
      <w:marRight w:val="0"/>
      <w:marTop w:val="0"/>
      <w:marBottom w:val="0"/>
      <w:divBdr>
        <w:top w:val="none" w:sz="0" w:space="0" w:color="auto"/>
        <w:left w:val="none" w:sz="0" w:space="0" w:color="auto"/>
        <w:bottom w:val="none" w:sz="0" w:space="0" w:color="auto"/>
        <w:right w:val="none" w:sz="0" w:space="0" w:color="auto"/>
      </w:divBdr>
    </w:div>
    <w:div w:id="1372806897">
      <w:bodyDiv w:val="1"/>
      <w:marLeft w:val="0"/>
      <w:marRight w:val="0"/>
      <w:marTop w:val="0"/>
      <w:marBottom w:val="0"/>
      <w:divBdr>
        <w:top w:val="none" w:sz="0" w:space="0" w:color="auto"/>
        <w:left w:val="none" w:sz="0" w:space="0" w:color="auto"/>
        <w:bottom w:val="none" w:sz="0" w:space="0" w:color="auto"/>
        <w:right w:val="none" w:sz="0" w:space="0" w:color="auto"/>
      </w:divBdr>
    </w:div>
    <w:div w:id="1432358153">
      <w:bodyDiv w:val="1"/>
      <w:marLeft w:val="0"/>
      <w:marRight w:val="0"/>
      <w:marTop w:val="0"/>
      <w:marBottom w:val="0"/>
      <w:divBdr>
        <w:top w:val="none" w:sz="0" w:space="0" w:color="auto"/>
        <w:left w:val="none" w:sz="0" w:space="0" w:color="auto"/>
        <w:bottom w:val="none" w:sz="0" w:space="0" w:color="auto"/>
        <w:right w:val="none" w:sz="0" w:space="0" w:color="auto"/>
      </w:divBdr>
    </w:div>
    <w:div w:id="1451243376">
      <w:bodyDiv w:val="1"/>
      <w:marLeft w:val="0"/>
      <w:marRight w:val="0"/>
      <w:marTop w:val="0"/>
      <w:marBottom w:val="0"/>
      <w:divBdr>
        <w:top w:val="none" w:sz="0" w:space="0" w:color="auto"/>
        <w:left w:val="none" w:sz="0" w:space="0" w:color="auto"/>
        <w:bottom w:val="none" w:sz="0" w:space="0" w:color="auto"/>
        <w:right w:val="none" w:sz="0" w:space="0" w:color="auto"/>
      </w:divBdr>
    </w:div>
    <w:div w:id="1453206716">
      <w:bodyDiv w:val="1"/>
      <w:marLeft w:val="0"/>
      <w:marRight w:val="0"/>
      <w:marTop w:val="0"/>
      <w:marBottom w:val="0"/>
      <w:divBdr>
        <w:top w:val="none" w:sz="0" w:space="0" w:color="auto"/>
        <w:left w:val="none" w:sz="0" w:space="0" w:color="auto"/>
        <w:bottom w:val="none" w:sz="0" w:space="0" w:color="auto"/>
        <w:right w:val="none" w:sz="0" w:space="0" w:color="auto"/>
      </w:divBdr>
    </w:div>
    <w:div w:id="1577858764">
      <w:bodyDiv w:val="1"/>
      <w:marLeft w:val="0"/>
      <w:marRight w:val="0"/>
      <w:marTop w:val="0"/>
      <w:marBottom w:val="0"/>
      <w:divBdr>
        <w:top w:val="none" w:sz="0" w:space="0" w:color="auto"/>
        <w:left w:val="none" w:sz="0" w:space="0" w:color="auto"/>
        <w:bottom w:val="none" w:sz="0" w:space="0" w:color="auto"/>
        <w:right w:val="none" w:sz="0" w:space="0" w:color="auto"/>
      </w:divBdr>
    </w:div>
    <w:div w:id="1676297447">
      <w:bodyDiv w:val="1"/>
      <w:marLeft w:val="0"/>
      <w:marRight w:val="0"/>
      <w:marTop w:val="0"/>
      <w:marBottom w:val="0"/>
      <w:divBdr>
        <w:top w:val="none" w:sz="0" w:space="0" w:color="auto"/>
        <w:left w:val="none" w:sz="0" w:space="0" w:color="auto"/>
        <w:bottom w:val="none" w:sz="0" w:space="0" w:color="auto"/>
        <w:right w:val="none" w:sz="0" w:space="0" w:color="auto"/>
      </w:divBdr>
    </w:div>
    <w:div w:id="1711952729">
      <w:bodyDiv w:val="1"/>
      <w:marLeft w:val="0"/>
      <w:marRight w:val="0"/>
      <w:marTop w:val="0"/>
      <w:marBottom w:val="0"/>
      <w:divBdr>
        <w:top w:val="none" w:sz="0" w:space="0" w:color="auto"/>
        <w:left w:val="none" w:sz="0" w:space="0" w:color="auto"/>
        <w:bottom w:val="none" w:sz="0" w:space="0" w:color="auto"/>
        <w:right w:val="none" w:sz="0" w:space="0" w:color="auto"/>
      </w:divBdr>
    </w:div>
    <w:div w:id="1852797516">
      <w:bodyDiv w:val="1"/>
      <w:marLeft w:val="0"/>
      <w:marRight w:val="0"/>
      <w:marTop w:val="0"/>
      <w:marBottom w:val="0"/>
      <w:divBdr>
        <w:top w:val="none" w:sz="0" w:space="0" w:color="auto"/>
        <w:left w:val="none" w:sz="0" w:space="0" w:color="auto"/>
        <w:bottom w:val="none" w:sz="0" w:space="0" w:color="auto"/>
        <w:right w:val="none" w:sz="0" w:space="0" w:color="auto"/>
      </w:divBdr>
    </w:div>
    <w:div w:id="1913663011">
      <w:bodyDiv w:val="1"/>
      <w:marLeft w:val="0"/>
      <w:marRight w:val="0"/>
      <w:marTop w:val="0"/>
      <w:marBottom w:val="0"/>
      <w:divBdr>
        <w:top w:val="none" w:sz="0" w:space="0" w:color="auto"/>
        <w:left w:val="none" w:sz="0" w:space="0" w:color="auto"/>
        <w:bottom w:val="none" w:sz="0" w:space="0" w:color="auto"/>
        <w:right w:val="none" w:sz="0" w:space="0" w:color="auto"/>
      </w:divBdr>
    </w:div>
    <w:div w:id="1938324326">
      <w:bodyDiv w:val="1"/>
      <w:marLeft w:val="0"/>
      <w:marRight w:val="0"/>
      <w:marTop w:val="0"/>
      <w:marBottom w:val="0"/>
      <w:divBdr>
        <w:top w:val="none" w:sz="0" w:space="0" w:color="auto"/>
        <w:left w:val="none" w:sz="0" w:space="0" w:color="auto"/>
        <w:bottom w:val="none" w:sz="0" w:space="0" w:color="auto"/>
        <w:right w:val="none" w:sz="0" w:space="0" w:color="auto"/>
      </w:divBdr>
    </w:div>
    <w:div w:id="1951428562">
      <w:bodyDiv w:val="1"/>
      <w:marLeft w:val="0"/>
      <w:marRight w:val="0"/>
      <w:marTop w:val="0"/>
      <w:marBottom w:val="0"/>
      <w:divBdr>
        <w:top w:val="none" w:sz="0" w:space="0" w:color="auto"/>
        <w:left w:val="none" w:sz="0" w:space="0" w:color="auto"/>
        <w:bottom w:val="none" w:sz="0" w:space="0" w:color="auto"/>
        <w:right w:val="none" w:sz="0" w:space="0" w:color="auto"/>
      </w:divBdr>
    </w:div>
    <w:div w:id="202370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nknowledge.fao.org/handle/20.500.14283/cc4691en" TargetMode="External"/><Relationship Id="rId18" Type="http://schemas.openxmlformats.org/officeDocument/2006/relationships/hyperlink" Target="https://openknowledge.fao.org/handle/20.500.14283/cc4690en" TargetMode="External"/><Relationship Id="rId3" Type="http://schemas.openxmlformats.org/officeDocument/2006/relationships/customXml" Target="../customXml/item3.xml"/><Relationship Id="rId21" Type="http://schemas.openxmlformats.org/officeDocument/2006/relationships/hyperlink" Target="https://undocs.org/en/A/RES/62/98" TargetMode="External"/><Relationship Id="rId7" Type="http://schemas.openxmlformats.org/officeDocument/2006/relationships/settings" Target="settings.xml"/><Relationship Id="rId12" Type="http://schemas.openxmlformats.org/officeDocument/2006/relationships/hyperlink" Target="https://openknowledge.fao.org/handle/20.500.14283/cc4690en" TargetMode="External"/><Relationship Id="rId17" Type="http://schemas.openxmlformats.org/officeDocument/2006/relationships/hyperlink" Target="https://fra-data.fao.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ao.org/forest-resources-assessment/" TargetMode="External"/><Relationship Id="rId20" Type="http://schemas.openxmlformats.org/officeDocument/2006/relationships/hyperlink" Target="NUL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a-data.fao.org/"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openknowledge.fao.org/handle/20.500.14283/cc6683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penknowledge.fao.org/handle/20.500.14283/cc4691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knowledge.fao.org/handle/20.500.14283/cc6683en"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384AF0B-2EFA-4C58-8DD7-76DC976E3220}"/>
      </w:docPartPr>
      <w:docPartBody>
        <w:p w:rsidR="00227D7B" w:rsidRDefault="00265491">
          <w:r w:rsidRPr="00CB4B2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491"/>
    <w:rsid w:val="000A2709"/>
    <w:rsid w:val="000A37CE"/>
    <w:rsid w:val="000B77AA"/>
    <w:rsid w:val="000C4ED5"/>
    <w:rsid w:val="000F21DE"/>
    <w:rsid w:val="001119B5"/>
    <w:rsid w:val="001833E0"/>
    <w:rsid w:val="00227D7B"/>
    <w:rsid w:val="0024482F"/>
    <w:rsid w:val="00265491"/>
    <w:rsid w:val="002A48B0"/>
    <w:rsid w:val="003D2FD0"/>
    <w:rsid w:val="003E3468"/>
    <w:rsid w:val="00457188"/>
    <w:rsid w:val="00487C99"/>
    <w:rsid w:val="004D396C"/>
    <w:rsid w:val="00515C30"/>
    <w:rsid w:val="005833EB"/>
    <w:rsid w:val="005B106B"/>
    <w:rsid w:val="005B2E63"/>
    <w:rsid w:val="005F4F19"/>
    <w:rsid w:val="006151D4"/>
    <w:rsid w:val="006A3833"/>
    <w:rsid w:val="006C75C6"/>
    <w:rsid w:val="006F0F2D"/>
    <w:rsid w:val="00767BAF"/>
    <w:rsid w:val="007F54F9"/>
    <w:rsid w:val="009E554E"/>
    <w:rsid w:val="00AB31CE"/>
    <w:rsid w:val="00B213CA"/>
    <w:rsid w:val="00BA6C1B"/>
    <w:rsid w:val="00C10B80"/>
    <w:rsid w:val="00CD7FD9"/>
    <w:rsid w:val="00D00363"/>
    <w:rsid w:val="00D34180"/>
    <w:rsid w:val="00E57199"/>
    <w:rsid w:val="00EF3F5A"/>
    <w:rsid w:val="00F00CF1"/>
    <w:rsid w:val="00F85EE0"/>
    <w:rsid w:val="00FC4D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49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DD_x002f_NFM_x0020_category xmlns="cc7ce8ca-8f52-44ec-9496-3c41d0f5ad18" xsi:nil="true"/>
    <TaxKeywordTaxHTField xmlns="cc7ce8ca-8f52-44ec-9496-3c41d0f5ad18">
      <Terms xmlns="http://schemas.microsoft.com/office/infopath/2007/PartnerControls"/>
    </TaxKeywordTaxHTField>
    <TaxCatchAll xmlns="cc7ce8ca-8f52-44ec-9496-3c41d0f5ad18" xsi:nil="true"/>
    <kae7f6409c1a45b5af70ba169c41da0e xmlns="82302deb-32b0-442b-bedc-ba64a9aa8ccd">
      <Terms xmlns="http://schemas.microsoft.com/office/infopath/2007/PartnerControls"/>
    </kae7f6409c1a45b5af70ba169c41da0e>
    <lcf76f155ced4ddcb4097134ff3c332f xmlns="82302deb-32b0-442b-bedc-ba64a9aa8cc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82C08FD3D0614AAB94B75C024070A7" ma:contentTypeVersion="29" ma:contentTypeDescription="Create a new document." ma:contentTypeScope="" ma:versionID="9b29f169df300b8b2981d74b0081413f">
  <xsd:schema xmlns:xsd="http://www.w3.org/2001/XMLSchema" xmlns:xs="http://www.w3.org/2001/XMLSchema" xmlns:p="http://schemas.microsoft.com/office/2006/metadata/properties" xmlns:ns2="82302deb-32b0-442b-bedc-ba64a9aa8ccd" xmlns:ns3="cc7ce8ca-8f52-44ec-9496-3c41d0f5ad18" targetNamespace="http://schemas.microsoft.com/office/2006/metadata/properties" ma:root="true" ma:fieldsID="c2fbaf1ae978ca53b8e54b151e621d95" ns2:_="" ns3:_="">
    <xsd:import namespace="82302deb-32b0-442b-bedc-ba64a9aa8ccd"/>
    <xsd:import namespace="cc7ce8ca-8f52-44ec-9496-3c41d0f5ad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REDD_x002f_NFM_x0020_category" minOccurs="0"/>
                <xsd:element ref="ns3:TaxCatchAll" minOccurs="0"/>
                <xsd:element ref="ns3:TaxKeywordTaxHTField" minOccurs="0"/>
                <xsd:element ref="ns2:MediaLengthInSeconds" minOccurs="0"/>
                <xsd:element ref="ns2:lcf76f155ced4ddcb4097134ff3c332f" minOccurs="0"/>
                <xsd:element ref="ns2:MediaServiceObjectDetectorVersions" minOccurs="0"/>
                <xsd:element ref="ns2:MediaServiceSearchProperties" minOccurs="0"/>
                <xsd:element ref="ns2:kae7f6409c1a45b5af70ba169c41da0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02deb-32b0-442b-bedc-ba64a9aa8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kae7f6409c1a45b5af70ba169c41da0e" ma:index="30" nillable="true" ma:taxonomy="true" ma:internalName="kae7f6409c1a45b5af70ba169c41da0e" ma:taxonomyFieldName="Weight" ma:displayName="Weight" ma:default="" ma:fieldId="{4ae7f640-9c1a-45b5-af70-ba169c41da0e}" ma:sspId="f40eee1e-ad38-437e-be40-fc9f033adc9a" ma:termSetId="87d46d98-46dd-4ca0-8638-769b191599cd" ma:anchorId="00000000-0000-0000-0000-000000000000" ma:open="true" ma:isKeyword="false">
      <xsd:complexType>
        <xsd:sequence>
          <xsd:element ref="pc:Terms" minOccurs="0" maxOccurs="1"/>
        </xsd:sequence>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7ce8ca-8f52-44ec-9496-3c41d0f5ad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REDD_x002f_NFM_x0020_category" ma:index="20" nillable="true" ma:displayName="REDD/NFM category" ma:list="{47579d77-2321-40b5-9ad4-2d6d6ce9c501}" ma:internalName="REDD_x002F_NFM_x0020_category" ma:showField="Title" ma:web="cc7ce8ca-8f52-44ec-9496-3c41d0f5ad18">
      <xsd:complexType>
        <xsd:complexContent>
          <xsd:extension base="dms:MultiChoiceLookup">
            <xsd:sequence>
              <xsd:element name="Value" type="dms:Lookup" maxOccurs="unbounded" minOccurs="0" nillable="true"/>
            </xsd:sequence>
          </xsd:extension>
        </xsd:complexContent>
      </xsd:complexType>
    </xsd:element>
    <xsd:element name="TaxCatchAll" ma:index="21" nillable="true" ma:displayName="Taxonomy Catch All Column" ma:hidden="true" ma:list="{dda2a781-49f9-4958-8522-b106e211dbae}" ma:internalName="TaxCatchAll" ma:showField="CatchAllData" ma:web="cc7ce8ca-8f52-44ec-9496-3c41d0f5ad18">
      <xsd:complexType>
        <xsd:complexContent>
          <xsd:extension base="dms:MultiChoiceLookup">
            <xsd:sequence>
              <xsd:element name="Value" type="dms:Lookup" maxOccurs="unbounded" minOccurs="0" nillable="true"/>
            </xsd:sequence>
          </xsd:extension>
        </xsd:complexContent>
      </xsd:complexType>
    </xsd:element>
    <xsd:element name="TaxKeywordTaxHTField" ma:index="22" nillable="true" ma:taxonomy="true" ma:internalName="TaxKeywordTaxHTField" ma:taxonomyFieldName="TaxKeyword" ma:displayName="Enterprise Keywords" ma:fieldId="{23f27201-bee3-471e-b2e7-b64fd8b7ca38}" ma:taxonomyMulti="true" ma:sspId="f40eee1e-ad38-437e-be40-fc9f033adc9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76597A22-7BCB-4E17-AD05-698BA4F6D47D}">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82302deb-32b0-442b-bedc-ba64a9aa8ccd"/>
    <ds:schemaRef ds:uri="cc7ce8ca-8f52-44ec-9496-3c41d0f5ad18"/>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C8FB261-6FE6-479D-9A7C-BDD80D6C4B85}">
  <ds:schemaRefs>
    <ds:schemaRef ds:uri="http://schemas.openxmlformats.org/officeDocument/2006/bibliography"/>
  </ds:schemaRefs>
</ds:datastoreItem>
</file>

<file path=customXml/itemProps4.xml><?xml version="1.0" encoding="utf-8"?>
<ds:datastoreItem xmlns:ds="http://schemas.openxmlformats.org/officeDocument/2006/customXml" ds:itemID="{276358CB-6195-49BF-8273-E071302F2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02deb-32b0-442b-bedc-ba64a9aa8ccd"/>
    <ds:schemaRef ds:uri="cc7ce8ca-8f52-44ec-9496-3c41d0f5a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77</TotalTime>
  <Pages>15</Pages>
  <Words>4944</Words>
  <Characters>28185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33063</CharactersWithSpaces>
  <SharedDoc>false</SharedDoc>
  <HLinks>
    <vt:vector size="78" baseType="variant">
      <vt:variant>
        <vt:i4>5177430</vt:i4>
      </vt:variant>
      <vt:variant>
        <vt:i4>42</vt:i4>
      </vt:variant>
      <vt:variant>
        <vt:i4>0</vt:i4>
      </vt:variant>
      <vt:variant>
        <vt:i4>5</vt:i4>
      </vt:variant>
      <vt:variant>
        <vt:lpwstr>https://undocs.org/en/A/RES/62/98</vt:lpwstr>
      </vt:variant>
      <vt:variant>
        <vt:lpwstr/>
      </vt:variant>
      <vt:variant>
        <vt:i4>262153</vt:i4>
      </vt:variant>
      <vt:variant>
        <vt:i4>39</vt:i4>
      </vt:variant>
      <vt:variant>
        <vt:i4>0</vt:i4>
      </vt:variant>
      <vt:variant>
        <vt:i4>5</vt:i4>
      </vt:variant>
      <vt:variant>
        <vt:lpwstr>http:///</vt:lpwstr>
      </vt:variant>
      <vt:variant>
        <vt:lpwstr/>
      </vt:variant>
      <vt:variant>
        <vt:i4>6488169</vt:i4>
      </vt:variant>
      <vt:variant>
        <vt:i4>36</vt:i4>
      </vt:variant>
      <vt:variant>
        <vt:i4>0</vt:i4>
      </vt:variant>
      <vt:variant>
        <vt:i4>5</vt:i4>
      </vt:variant>
      <vt:variant>
        <vt:lpwstr>https://openknowledge.fao.org/handle/20.500.14283/cc4691en</vt:lpwstr>
      </vt:variant>
      <vt:variant>
        <vt:lpwstr/>
      </vt:variant>
      <vt:variant>
        <vt:i4>6422633</vt:i4>
      </vt:variant>
      <vt:variant>
        <vt:i4>30</vt:i4>
      </vt:variant>
      <vt:variant>
        <vt:i4>0</vt:i4>
      </vt:variant>
      <vt:variant>
        <vt:i4>5</vt:i4>
      </vt:variant>
      <vt:variant>
        <vt:lpwstr>https://openknowledge.fao.org/handle/20.500.14283/cc4690en</vt:lpwstr>
      </vt:variant>
      <vt:variant>
        <vt:lpwstr/>
      </vt:variant>
      <vt:variant>
        <vt:i4>5177412</vt:i4>
      </vt:variant>
      <vt:variant>
        <vt:i4>27</vt:i4>
      </vt:variant>
      <vt:variant>
        <vt:i4>0</vt:i4>
      </vt:variant>
      <vt:variant>
        <vt:i4>5</vt:i4>
      </vt:variant>
      <vt:variant>
        <vt:lpwstr>https://fra-data.fao.org/</vt:lpwstr>
      </vt:variant>
      <vt:variant>
        <vt:lpwstr/>
      </vt:variant>
      <vt:variant>
        <vt:i4>2359354</vt:i4>
      </vt:variant>
      <vt:variant>
        <vt:i4>24</vt:i4>
      </vt:variant>
      <vt:variant>
        <vt:i4>0</vt:i4>
      </vt:variant>
      <vt:variant>
        <vt:i4>5</vt:i4>
      </vt:variant>
      <vt:variant>
        <vt:lpwstr>http://www.fao.org/forest-resources-assessment/</vt:lpwstr>
      </vt:variant>
      <vt:variant>
        <vt:lpwstr/>
      </vt:variant>
      <vt:variant>
        <vt:i4>6357098</vt:i4>
      </vt:variant>
      <vt:variant>
        <vt:i4>21</vt:i4>
      </vt:variant>
      <vt:variant>
        <vt:i4>0</vt:i4>
      </vt:variant>
      <vt:variant>
        <vt:i4>5</vt:i4>
      </vt:variant>
      <vt:variant>
        <vt:lpwstr>https://openknowledge.fao.org/handle/20.500.14283/cc6683en</vt:lpwstr>
      </vt:variant>
      <vt:variant>
        <vt:lpwstr/>
      </vt:variant>
      <vt:variant>
        <vt:i4>6357098</vt:i4>
      </vt:variant>
      <vt:variant>
        <vt:i4>15</vt:i4>
      </vt:variant>
      <vt:variant>
        <vt:i4>0</vt:i4>
      </vt:variant>
      <vt:variant>
        <vt:i4>5</vt:i4>
      </vt:variant>
      <vt:variant>
        <vt:lpwstr>https://openknowledge.fao.org/handle/20.500.14283/cc6683en</vt:lpwstr>
      </vt:variant>
      <vt:variant>
        <vt:lpwstr/>
      </vt:variant>
      <vt:variant>
        <vt:i4>6488169</vt:i4>
      </vt:variant>
      <vt:variant>
        <vt:i4>9</vt:i4>
      </vt:variant>
      <vt:variant>
        <vt:i4>0</vt:i4>
      </vt:variant>
      <vt:variant>
        <vt:i4>5</vt:i4>
      </vt:variant>
      <vt:variant>
        <vt:lpwstr>https://openknowledge.fao.org/handle/20.500.14283/cc4691en</vt:lpwstr>
      </vt:variant>
      <vt:variant>
        <vt:lpwstr/>
      </vt:variant>
      <vt:variant>
        <vt:i4>6422633</vt:i4>
      </vt:variant>
      <vt:variant>
        <vt:i4>3</vt:i4>
      </vt:variant>
      <vt:variant>
        <vt:i4>0</vt:i4>
      </vt:variant>
      <vt:variant>
        <vt:i4>5</vt:i4>
      </vt:variant>
      <vt:variant>
        <vt:lpwstr>https://openknowledge.fao.org/handle/20.500.14283/cc4690en</vt:lpwstr>
      </vt:variant>
      <vt:variant>
        <vt:lpwstr/>
      </vt:variant>
      <vt:variant>
        <vt:i4>5177412</vt:i4>
      </vt:variant>
      <vt:variant>
        <vt:i4>0</vt:i4>
      </vt:variant>
      <vt:variant>
        <vt:i4>0</vt:i4>
      </vt:variant>
      <vt:variant>
        <vt:i4>5</vt:i4>
      </vt:variant>
      <vt:variant>
        <vt:lpwstr>https://fra-data.fao.org/</vt:lpwstr>
      </vt:variant>
      <vt:variant>
        <vt:lpwstr/>
      </vt:variant>
      <vt:variant>
        <vt:i4>4063305</vt:i4>
      </vt:variant>
      <vt:variant>
        <vt:i4>3</vt:i4>
      </vt:variant>
      <vt:variant>
        <vt:i4>0</vt:i4>
      </vt:variant>
      <vt:variant>
        <vt:i4>5</vt:i4>
      </vt:variant>
      <vt:variant>
        <vt:lpwstr>mailto:Anne.Branthomme@fao.org</vt:lpwstr>
      </vt:variant>
      <vt:variant>
        <vt:lpwstr/>
      </vt:variant>
      <vt:variant>
        <vt:i4>4587558</vt:i4>
      </vt:variant>
      <vt:variant>
        <vt:i4>0</vt:i4>
      </vt:variant>
      <vt:variant>
        <vt:i4>0</vt:i4>
      </vt:variant>
      <vt:variant>
        <vt:i4>5</vt:i4>
      </vt:variant>
      <vt:variant>
        <vt:lpwstr>mailto:Oliver.Stoner@fao.org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Branthomme, Anne (NFOA)</dc:creator>
  <cp:keywords/>
  <cp:lastModifiedBy>Harumi Shibata Salazar</cp:lastModifiedBy>
  <cp:revision>7</cp:revision>
  <cp:lastPrinted>2026-03-30T03:28:00Z</cp:lastPrinted>
  <dcterms:created xsi:type="dcterms:W3CDTF">2026-03-10T20:05:00Z</dcterms:created>
  <dcterms:modified xsi:type="dcterms:W3CDTF">2026-03-30T03:28:00Z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0x0101003082C08FD3D0614AAB94B75C024070A7</vt:lpwstr>
  </property>
  <property fmtid="{D5CDD505-2E9C-101B-9397-08002B2CF9AE}" pid="3" name="TaxKeyword">
    <vt:lpwstr/>
  </property>
  <property fmtid="{D5CDD505-2E9C-101B-9397-08002B2CF9AE}" pid="4" name="MediaServiceImageTags">
    <vt:lpwstr/>
  </property>
  <property fmtid="{D5CDD505-2E9C-101B-9397-08002B2CF9AE}" pid="5" name="Weight">
    <vt:lpwstr/>
  </property>
  <property fmtid="{D5CDD505-2E9C-101B-9397-08002B2CF9AE}" pid="6" name="docLang">
    <vt:lpwstr>en</vt:lpwstr>
  </property>
</Properties>
</file>